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firstLine="883" w:firstLineChars="200"/>
        <w:jc w:val="center"/>
        <w:rPr>
          <w:rFonts w:ascii="黑体" w:hAnsi="黑体" w:eastAsia="黑体" w:cs="黑体"/>
          <w:b/>
          <w:bCs/>
          <w:color w:val="000000" w:themeColor="text1"/>
          <w:sz w:val="44"/>
          <w:szCs w:val="44"/>
          <w14:textFill>
            <w14:solidFill>
              <w14:schemeClr w14:val="tx1"/>
            </w14:solidFill>
          </w14:textFill>
        </w:rPr>
      </w:pPr>
    </w:p>
    <w:p>
      <w:pPr>
        <w:spacing w:before="156" w:beforeLines="50" w:after="156" w:afterLines="50" w:line="360" w:lineRule="auto"/>
        <w:ind w:firstLine="883" w:firstLineChars="200"/>
        <w:jc w:val="center"/>
        <w:rPr>
          <w:rFonts w:ascii="黑体" w:hAnsi="黑体" w:eastAsia="黑体" w:cs="黑体"/>
          <w:b/>
          <w:bCs/>
          <w:color w:val="000000" w:themeColor="text1"/>
          <w:sz w:val="44"/>
          <w:szCs w:val="44"/>
          <w14:textFill>
            <w14:solidFill>
              <w14:schemeClr w14:val="tx1"/>
            </w14:solidFill>
          </w14:textFill>
        </w:rPr>
      </w:pPr>
    </w:p>
    <w:p>
      <w:pPr>
        <w:spacing w:before="156" w:beforeLines="50" w:after="156" w:afterLines="50" w:line="360" w:lineRule="auto"/>
        <w:jc w:val="center"/>
        <w:rPr>
          <w:rFonts w:hint="eastAsia" w:ascii="微软雅黑" w:hAnsi="微软雅黑" w:eastAsia="微软雅黑" w:cs="微软雅黑"/>
          <w:b/>
          <w:bCs/>
          <w:color w:val="000000" w:themeColor="text1"/>
          <w:sz w:val="44"/>
          <w:szCs w:val="44"/>
          <w14:textFill>
            <w14:solidFill>
              <w14:schemeClr w14:val="tx1"/>
            </w14:solidFill>
          </w14:textFill>
        </w:rPr>
      </w:pPr>
      <w:r>
        <w:rPr>
          <w:rFonts w:hint="eastAsia" w:ascii="微软雅黑" w:hAnsi="微软雅黑" w:eastAsia="微软雅黑" w:cs="微软雅黑"/>
          <w:b/>
          <w:bCs/>
          <w:color w:val="000000" w:themeColor="text1"/>
          <w:sz w:val="44"/>
          <w:szCs w:val="44"/>
          <w:lang w:val="en-US" w:eastAsia="zh-CN"/>
          <w14:textFill>
            <w14:solidFill>
              <w14:schemeClr w14:val="tx1"/>
            </w14:solidFill>
          </w14:textFill>
        </w:rPr>
        <w:t>乌海市应急管理</w:t>
      </w:r>
      <w:r>
        <w:rPr>
          <w:rFonts w:hint="eastAsia" w:ascii="微软雅黑" w:hAnsi="微软雅黑" w:eastAsia="微软雅黑" w:cs="微软雅黑"/>
          <w:b/>
          <w:bCs/>
          <w:color w:val="000000" w:themeColor="text1"/>
          <w:sz w:val="44"/>
          <w:szCs w:val="44"/>
          <w14:textFill>
            <w14:solidFill>
              <w14:schemeClr w14:val="tx1"/>
            </w14:solidFill>
          </w14:textFill>
        </w:rPr>
        <w:t>“十四五”规划</w:t>
      </w:r>
    </w:p>
    <w:p>
      <w:pPr>
        <w:pStyle w:val="2"/>
        <w:rPr>
          <w:rFonts w:hint="default" w:eastAsia="微软雅黑"/>
          <w:lang w:val="en-US" w:eastAsia="zh-CN"/>
        </w:rPr>
      </w:pPr>
      <w:r>
        <w:rPr>
          <w:rFonts w:hint="eastAsia" w:ascii="微软雅黑" w:hAnsi="微软雅黑" w:eastAsia="微软雅黑" w:cs="微软雅黑"/>
          <w:b/>
          <w:bCs/>
          <w:color w:val="000000" w:themeColor="text1"/>
          <w:sz w:val="44"/>
          <w:szCs w:val="44"/>
          <w:lang w:val="en-US" w:eastAsia="zh-CN"/>
          <w14:textFill>
            <w14:solidFill>
              <w14:schemeClr w14:val="tx1"/>
            </w14:solidFill>
          </w14:textFill>
        </w:rPr>
        <w:t xml:space="preserve">           </w:t>
      </w:r>
      <w:bookmarkStart w:id="271" w:name="_GoBack"/>
      <w:bookmarkEnd w:id="271"/>
    </w:p>
    <w:p>
      <w:pPr>
        <w:spacing w:before="156" w:beforeLines="50" w:after="156" w:afterLines="50" w:line="360" w:lineRule="auto"/>
        <w:ind w:firstLine="640" w:firstLineChars="200"/>
        <w:jc w:val="center"/>
        <w:rPr>
          <w:rFonts w:ascii="仿宋_GB2312" w:hAnsi="Times New Roman" w:eastAsia="仿宋_GB2312"/>
          <w:color w:val="000000" w:themeColor="text1"/>
          <w:sz w:val="32"/>
          <w:szCs w:val="32"/>
          <w14:textFill>
            <w14:solidFill>
              <w14:schemeClr w14:val="tx1"/>
            </w14:solidFill>
          </w14:textFill>
        </w:rPr>
      </w:pPr>
    </w:p>
    <w:p>
      <w:pPr>
        <w:pStyle w:val="2"/>
        <w:rPr>
          <w:rFonts w:ascii="仿宋_GB2312" w:hAnsi="Times New Roman" w:eastAsia="仿宋_GB2312"/>
          <w:color w:val="000000" w:themeColor="text1"/>
          <w:sz w:val="32"/>
          <w:szCs w:val="32"/>
          <w14:textFill>
            <w14:solidFill>
              <w14:schemeClr w14:val="tx1"/>
            </w14:solidFill>
          </w14:textFill>
        </w:rPr>
      </w:pPr>
    </w:p>
    <w:p>
      <w:pPr>
        <w:pStyle w:val="2"/>
        <w:rPr>
          <w:rFonts w:ascii="仿宋_GB2312" w:hAnsi="Times New Roman" w:eastAsia="仿宋_GB2312"/>
          <w:color w:val="000000" w:themeColor="text1"/>
          <w:sz w:val="32"/>
          <w:szCs w:val="32"/>
          <w14:textFill>
            <w14:solidFill>
              <w14:schemeClr w14:val="tx1"/>
            </w14:solidFill>
          </w14:textFill>
        </w:rPr>
      </w:pPr>
    </w:p>
    <w:p>
      <w:pPr>
        <w:pStyle w:val="2"/>
      </w:pPr>
    </w:p>
    <w:p>
      <w:pPr>
        <w:spacing w:before="156" w:beforeLines="50" w:after="156" w:afterLines="50" w:line="360" w:lineRule="auto"/>
        <w:ind w:firstLine="640" w:firstLineChars="200"/>
        <w:jc w:val="center"/>
        <w:rPr>
          <w:rFonts w:ascii="仿宋_GB2312" w:hAnsi="Times New Roman" w:eastAsia="仿宋_GB2312"/>
          <w:color w:val="000000" w:themeColor="text1"/>
          <w:sz w:val="32"/>
          <w:szCs w:val="32"/>
          <w14:textFill>
            <w14:solidFill>
              <w14:schemeClr w14:val="tx1"/>
            </w14:solidFill>
          </w14:textFill>
        </w:rPr>
      </w:pPr>
    </w:p>
    <w:p>
      <w:pPr>
        <w:pStyle w:val="2"/>
        <w:rPr>
          <w:rFonts w:ascii="仿宋_GB2312" w:hAnsi="Times New Roman" w:eastAsia="仿宋_GB2312"/>
          <w:color w:val="000000" w:themeColor="text1"/>
          <w:sz w:val="32"/>
          <w:szCs w:val="32"/>
          <w14:textFill>
            <w14:solidFill>
              <w14:schemeClr w14:val="tx1"/>
            </w14:solidFill>
          </w14:textFill>
        </w:rPr>
      </w:pPr>
    </w:p>
    <w:p>
      <w:pPr>
        <w:spacing w:before="156" w:beforeLines="50" w:after="156" w:afterLines="50" w:line="360" w:lineRule="auto"/>
        <w:rPr>
          <w:rFonts w:ascii="仿宋_GB2312" w:hAnsi="Times New Roman" w:eastAsia="仿宋_GB2312"/>
          <w:color w:val="000000" w:themeColor="text1"/>
          <w:sz w:val="32"/>
          <w:szCs w:val="32"/>
          <w14:textFill>
            <w14:solidFill>
              <w14:schemeClr w14:val="tx1"/>
            </w14:solidFill>
          </w14:textFill>
        </w:rPr>
      </w:pPr>
    </w:p>
    <w:p>
      <w:pPr>
        <w:spacing w:before="156" w:beforeLines="50" w:after="156" w:afterLines="50" w:line="360" w:lineRule="auto"/>
        <w:ind w:firstLine="640" w:firstLineChars="200"/>
        <w:jc w:val="center"/>
        <w:rPr>
          <w:rFonts w:ascii="仿宋_GB2312" w:hAnsi="Times New Roman" w:eastAsia="仿宋_GB2312"/>
          <w:color w:val="000000" w:themeColor="text1"/>
          <w:sz w:val="32"/>
          <w:szCs w:val="32"/>
          <w14:textFill>
            <w14:solidFill>
              <w14:schemeClr w14:val="tx1"/>
            </w14:solidFill>
          </w14:textFill>
        </w:rPr>
      </w:pPr>
    </w:p>
    <w:p>
      <w:pPr>
        <w:spacing w:before="156" w:beforeLines="50" w:after="156" w:afterLines="50" w:line="360" w:lineRule="auto"/>
        <w:ind w:firstLine="640" w:firstLineChars="200"/>
        <w:jc w:val="center"/>
        <w:rPr>
          <w:rFonts w:ascii="仿宋_GB2312" w:hAnsi="Times New Roman" w:eastAsia="仿宋_GB2312"/>
          <w:color w:val="000000" w:themeColor="text1"/>
          <w:sz w:val="32"/>
          <w:szCs w:val="32"/>
          <w14:textFill>
            <w14:solidFill>
              <w14:schemeClr w14:val="tx1"/>
            </w14:solidFill>
          </w14:textFill>
        </w:rPr>
      </w:pPr>
    </w:p>
    <w:p>
      <w:pPr>
        <w:spacing w:before="156" w:beforeLines="50" w:after="156" w:afterLines="50" w:line="360" w:lineRule="auto"/>
        <w:jc w:val="center"/>
        <w:rPr>
          <w:rFonts w:hint="eastAsia" w:ascii="仿宋_GB2312" w:hAnsi="Times New Roman" w:eastAsia="仿宋_GB2312"/>
          <w:b/>
          <w:bCs/>
          <w:color w:val="000000" w:themeColor="text1"/>
          <w:sz w:val="32"/>
          <w:szCs w:val="32"/>
          <w:lang w:val="en-US" w:eastAsia="zh-CN"/>
          <w14:textFill>
            <w14:solidFill>
              <w14:schemeClr w14:val="tx1"/>
            </w14:solidFill>
          </w14:textFill>
        </w:rPr>
      </w:pPr>
      <w:r>
        <w:rPr>
          <w:rFonts w:hint="eastAsia" w:ascii="仿宋_GB2312" w:hAnsi="Times New Roman" w:eastAsia="仿宋_GB2312"/>
          <w:b/>
          <w:bCs/>
          <w:color w:val="000000" w:themeColor="text1"/>
          <w:sz w:val="32"/>
          <w:szCs w:val="32"/>
          <w:lang w:val="en-US" w:eastAsia="zh-CN"/>
          <w14:textFill>
            <w14:solidFill>
              <w14:schemeClr w14:val="tx1"/>
            </w14:solidFill>
          </w14:textFill>
        </w:rPr>
        <w:t>乌海市应急管理局</w:t>
      </w:r>
    </w:p>
    <w:p>
      <w:pPr>
        <w:spacing w:before="156" w:beforeLines="50" w:after="156" w:afterLines="50" w:line="360" w:lineRule="auto"/>
        <w:jc w:val="center"/>
        <w:rPr>
          <w:rFonts w:ascii="仿宋_GB2312" w:hAnsi="Times New Roman" w:eastAsia="仿宋_GB2312"/>
          <w:b/>
          <w:bCs/>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hAnsi="Times New Roman" w:eastAsia="仿宋_GB2312"/>
          <w:b/>
          <w:bCs/>
          <w:color w:val="000000" w:themeColor="text1"/>
          <w:sz w:val="32"/>
          <w:szCs w:val="32"/>
          <w14:textFill>
            <w14:solidFill>
              <w14:schemeClr w14:val="tx1"/>
            </w14:solidFill>
          </w14:textFill>
        </w:rPr>
        <w:t>2</w:t>
      </w:r>
      <w:r>
        <w:rPr>
          <w:rFonts w:ascii="仿宋_GB2312" w:hAnsi="Times New Roman" w:eastAsia="仿宋_GB2312"/>
          <w:b/>
          <w:bCs/>
          <w:color w:val="000000" w:themeColor="text1"/>
          <w:sz w:val="32"/>
          <w:szCs w:val="32"/>
          <w14:textFill>
            <w14:solidFill>
              <w14:schemeClr w14:val="tx1"/>
            </w14:solidFill>
          </w14:textFill>
        </w:rPr>
        <w:t>02</w:t>
      </w:r>
      <w:r>
        <w:rPr>
          <w:rFonts w:hint="eastAsia" w:ascii="仿宋_GB2312" w:hAnsi="Times New Roman" w:eastAsia="仿宋_GB2312"/>
          <w:b/>
          <w:bCs/>
          <w:color w:val="000000" w:themeColor="text1"/>
          <w:sz w:val="32"/>
          <w:szCs w:val="32"/>
          <w:lang w:val="en-US" w:eastAsia="zh-CN"/>
          <w14:textFill>
            <w14:solidFill>
              <w14:schemeClr w14:val="tx1"/>
            </w14:solidFill>
          </w14:textFill>
        </w:rPr>
        <w:t>2</w:t>
      </w:r>
      <w:r>
        <w:rPr>
          <w:rFonts w:hint="eastAsia" w:ascii="仿宋_GB2312" w:hAnsi="Times New Roman" w:eastAsia="仿宋_GB2312"/>
          <w:b/>
          <w:bCs/>
          <w:color w:val="000000" w:themeColor="text1"/>
          <w:sz w:val="32"/>
          <w:szCs w:val="32"/>
          <w14:textFill>
            <w14:solidFill>
              <w14:schemeClr w14:val="tx1"/>
            </w14:solidFill>
          </w14:textFill>
        </w:rPr>
        <w:t>年</w:t>
      </w:r>
      <w:r>
        <w:rPr>
          <w:rFonts w:hint="eastAsia" w:ascii="仿宋_GB2312" w:hAnsi="Times New Roman" w:eastAsia="仿宋_GB2312"/>
          <w:b/>
          <w:bCs/>
          <w:color w:val="000000" w:themeColor="text1"/>
          <w:sz w:val="32"/>
          <w:szCs w:val="32"/>
          <w:lang w:val="en-US" w:eastAsia="zh-CN"/>
          <w14:textFill>
            <w14:solidFill>
              <w14:schemeClr w14:val="tx1"/>
            </w14:solidFill>
          </w14:textFill>
        </w:rPr>
        <w:t>2</w:t>
      </w:r>
      <w:r>
        <w:rPr>
          <w:rFonts w:hint="eastAsia" w:ascii="仿宋_GB2312" w:hAnsi="Times New Roman" w:eastAsia="仿宋_GB2312"/>
          <w:b/>
          <w:bCs/>
          <w:color w:val="000000" w:themeColor="text1"/>
          <w:sz w:val="32"/>
          <w:szCs w:val="32"/>
          <w14:textFill>
            <w14:solidFill>
              <w14:schemeClr w14:val="tx1"/>
            </w14:solidFill>
          </w14:textFill>
        </w:rPr>
        <w:t>月</w:t>
      </w:r>
    </w:p>
    <w:sdt>
      <w:sdtPr>
        <w:rPr>
          <w:rFonts w:ascii="宋体" w:hAnsi="宋体" w:eastAsia="宋体" w:cstheme="minorBidi"/>
          <w:kern w:val="2"/>
          <w:sz w:val="32"/>
          <w:szCs w:val="32"/>
          <w:lang w:val="en-US" w:eastAsia="zh-CN" w:bidi="ar-SA"/>
        </w:rPr>
        <w:id w:val="270272248"/>
        <w:docPartObj>
          <w:docPartGallery w:val="Table of Contents"/>
          <w:docPartUnique/>
        </w:docPartObj>
      </w:sdtPr>
      <w:sdtEndPr>
        <w:rPr>
          <w:rFonts w:asciiTheme="minorHAnsi" w:hAnsiTheme="minorHAnsi" w:eastAsiaTheme="minorEastAsia" w:cstheme="minorBidi"/>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bookmarkStart w:id="0" w:name="_Toc530992374_WPSOffice_Type3"/>
          <w:r>
            <w:rPr>
              <w:rFonts w:ascii="宋体" w:hAnsi="宋体" w:eastAsia="宋体"/>
              <w:sz w:val="32"/>
              <w:szCs w:val="32"/>
            </w:rPr>
            <w:t>目录</w:t>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_Toc1182506082_WPSOffice_Level1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b34ef7c0-338b-438c-8e43-6b9ef3230698}"/>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第一章 形势分析</w:t>
              </w:r>
            </w:sdtContent>
          </w:sdt>
          <w:r>
            <w:rPr>
              <w:rFonts w:hint="eastAsia" w:ascii="仿宋_GB2312" w:hAnsi="仿宋_GB2312" w:eastAsia="仿宋_GB2312" w:cs="仿宋_GB2312"/>
              <w:sz w:val="24"/>
              <w:szCs w:val="24"/>
            </w:rPr>
            <w:tab/>
          </w:r>
          <w:bookmarkStart w:id="1" w:name="_Toc1182506082_WPSOffice_Level1Page"/>
          <w:r>
            <w:rPr>
              <w:rFonts w:hint="eastAsia" w:ascii="仿宋_GB2312" w:hAnsi="仿宋_GB2312" w:eastAsia="仿宋_GB2312" w:cs="仿宋_GB2312"/>
              <w:sz w:val="24"/>
              <w:szCs w:val="24"/>
            </w:rPr>
            <w:t>1</w:t>
          </w:r>
          <w:bookmarkEnd w:id="1"/>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_Toc530992374_WPSOffice_Level2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5df25bd-3797-4aa9-95ce-06fe4f33633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（一）“十三五”建设成效</w:t>
              </w:r>
            </w:sdtContent>
          </w:sdt>
          <w:r>
            <w:rPr>
              <w:rFonts w:hint="eastAsia" w:ascii="仿宋_GB2312" w:hAnsi="仿宋_GB2312" w:eastAsia="仿宋_GB2312" w:cs="仿宋_GB2312"/>
              <w:sz w:val="24"/>
              <w:szCs w:val="24"/>
            </w:rPr>
            <w:tab/>
          </w:r>
          <w:bookmarkStart w:id="2" w:name="_Toc530992374_WPSOffice_Level2Page"/>
          <w:r>
            <w:rPr>
              <w:rFonts w:hint="eastAsia" w:ascii="仿宋_GB2312" w:hAnsi="仿宋_GB2312" w:eastAsia="仿宋_GB2312" w:cs="仿宋_GB2312"/>
              <w:sz w:val="24"/>
              <w:szCs w:val="24"/>
            </w:rPr>
            <w:t>1</w:t>
          </w:r>
          <w:bookmarkEnd w:id="2"/>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_Toc779912099_WPSOffice_Level2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e437a52d-9aed-4624-94cd-6ca1bb08bc72}"/>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（二）“十四五”面临的挑战</w:t>
              </w:r>
            </w:sdtContent>
          </w:sdt>
          <w:r>
            <w:rPr>
              <w:rFonts w:hint="eastAsia" w:ascii="仿宋_GB2312" w:hAnsi="仿宋_GB2312" w:eastAsia="仿宋_GB2312" w:cs="仿宋_GB2312"/>
              <w:sz w:val="24"/>
              <w:szCs w:val="24"/>
            </w:rPr>
            <w:tab/>
          </w:r>
          <w:bookmarkStart w:id="3" w:name="_Toc779912099_WPSOffice_Level2Page"/>
          <w:r>
            <w:rPr>
              <w:rFonts w:hint="eastAsia" w:ascii="仿宋_GB2312" w:hAnsi="仿宋_GB2312" w:eastAsia="仿宋_GB2312" w:cs="仿宋_GB2312"/>
              <w:sz w:val="24"/>
              <w:szCs w:val="24"/>
            </w:rPr>
            <w:t>6</w:t>
          </w:r>
          <w:bookmarkEnd w:id="3"/>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_Toc925968195_WPSOffice_Level2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803990a5-45a0-4b82-8478-57d8bd42ffe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（三）“十四五”建设机遇</w:t>
              </w:r>
            </w:sdtContent>
          </w:sdt>
          <w:r>
            <w:rPr>
              <w:rFonts w:hint="eastAsia" w:ascii="仿宋_GB2312" w:hAnsi="仿宋_GB2312" w:eastAsia="仿宋_GB2312" w:cs="仿宋_GB2312"/>
              <w:sz w:val="24"/>
              <w:szCs w:val="24"/>
            </w:rPr>
            <w:tab/>
          </w:r>
          <w:bookmarkStart w:id="4" w:name="_Toc925968195_WPSOffice_Level2Page"/>
          <w:r>
            <w:rPr>
              <w:rFonts w:hint="eastAsia" w:ascii="仿宋_GB2312" w:hAnsi="仿宋_GB2312" w:eastAsia="仿宋_GB2312" w:cs="仿宋_GB2312"/>
              <w:sz w:val="24"/>
              <w:szCs w:val="24"/>
            </w:rPr>
            <w:t>8</w:t>
          </w:r>
          <w:bookmarkEnd w:id="4"/>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_Toc530992374_WPSOffice_Level1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53f4b8a-7785-4310-8f4f-d2b92157727f}"/>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第二章 指导思想、基本原则和建设目标</w:t>
              </w:r>
            </w:sdtContent>
          </w:sdt>
          <w:r>
            <w:rPr>
              <w:rFonts w:hint="eastAsia" w:ascii="仿宋_GB2312" w:hAnsi="仿宋_GB2312" w:eastAsia="仿宋_GB2312" w:cs="仿宋_GB2312"/>
              <w:sz w:val="24"/>
              <w:szCs w:val="24"/>
            </w:rPr>
            <w:tab/>
          </w:r>
          <w:bookmarkStart w:id="5" w:name="_Toc530992374_WPSOffice_Level1Page"/>
          <w:r>
            <w:rPr>
              <w:rFonts w:hint="eastAsia" w:ascii="仿宋_GB2312" w:hAnsi="仿宋_GB2312" w:eastAsia="仿宋_GB2312" w:cs="仿宋_GB2312"/>
              <w:sz w:val="24"/>
              <w:szCs w:val="24"/>
            </w:rPr>
            <w:t>10</w:t>
          </w:r>
          <w:bookmarkEnd w:id="5"/>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_Toc1864914550_WPSOffice_Level2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2017f8be-0e04-4491-b41d-f811a3817b3d}"/>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（一）指导思想</w:t>
              </w:r>
            </w:sdtContent>
          </w:sdt>
          <w:r>
            <w:rPr>
              <w:rFonts w:hint="eastAsia" w:ascii="仿宋_GB2312" w:hAnsi="仿宋_GB2312" w:eastAsia="仿宋_GB2312" w:cs="仿宋_GB2312"/>
              <w:sz w:val="24"/>
              <w:szCs w:val="24"/>
            </w:rPr>
            <w:tab/>
          </w:r>
          <w:bookmarkStart w:id="6" w:name="_Toc1864914550_WPSOffice_Level2Page"/>
          <w:r>
            <w:rPr>
              <w:rFonts w:hint="eastAsia" w:ascii="仿宋_GB2312" w:hAnsi="仿宋_GB2312" w:eastAsia="仿宋_GB2312" w:cs="仿宋_GB2312"/>
              <w:sz w:val="24"/>
              <w:szCs w:val="24"/>
            </w:rPr>
            <w:t>10</w:t>
          </w:r>
          <w:bookmarkEnd w:id="6"/>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_Toc1902299452_WPSOffice_Level2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efc60f97-3edb-4638-8ae2-22bfa20e7dc7}"/>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（二）基本原则</w:t>
              </w:r>
            </w:sdtContent>
          </w:sdt>
          <w:r>
            <w:rPr>
              <w:rFonts w:hint="eastAsia" w:ascii="仿宋_GB2312" w:hAnsi="仿宋_GB2312" w:eastAsia="仿宋_GB2312" w:cs="仿宋_GB2312"/>
              <w:sz w:val="24"/>
              <w:szCs w:val="24"/>
            </w:rPr>
            <w:tab/>
          </w:r>
          <w:bookmarkStart w:id="7" w:name="_Toc1902299452_WPSOffice_Level2Page"/>
          <w:r>
            <w:rPr>
              <w:rFonts w:hint="eastAsia" w:ascii="仿宋_GB2312" w:hAnsi="仿宋_GB2312" w:eastAsia="仿宋_GB2312" w:cs="仿宋_GB2312"/>
              <w:sz w:val="24"/>
              <w:szCs w:val="24"/>
            </w:rPr>
            <w:t>10</w:t>
          </w:r>
          <w:bookmarkEnd w:id="7"/>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_Toc41873610_WPSOffice_Level2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4389ac1c-c74e-4673-9450-e6c0a192ece2}"/>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（三）建设目标</w:t>
              </w:r>
            </w:sdtContent>
          </w:sdt>
          <w:r>
            <w:rPr>
              <w:rFonts w:hint="eastAsia" w:ascii="仿宋_GB2312" w:hAnsi="仿宋_GB2312" w:eastAsia="仿宋_GB2312" w:cs="仿宋_GB2312"/>
              <w:sz w:val="24"/>
              <w:szCs w:val="24"/>
            </w:rPr>
            <w:tab/>
          </w:r>
          <w:bookmarkStart w:id="8" w:name="_Toc41873610_WPSOffice_Level2Page"/>
          <w:r>
            <w:rPr>
              <w:rFonts w:hint="eastAsia" w:ascii="仿宋_GB2312" w:hAnsi="仿宋_GB2312" w:eastAsia="仿宋_GB2312" w:cs="仿宋_GB2312"/>
              <w:sz w:val="24"/>
              <w:szCs w:val="24"/>
            </w:rPr>
            <w:t>11</w:t>
          </w:r>
          <w:bookmarkEnd w:id="8"/>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_Toc779912099_WPSOffice_Level1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47fc42f0-68d9-4aa1-8ed1-f2b078c0aae2}"/>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第三章 深化应急管理体制机制改革</w:t>
              </w:r>
            </w:sdtContent>
          </w:sdt>
          <w:r>
            <w:rPr>
              <w:rFonts w:hint="eastAsia" w:ascii="仿宋_GB2312" w:hAnsi="仿宋_GB2312" w:eastAsia="仿宋_GB2312" w:cs="仿宋_GB2312"/>
              <w:sz w:val="24"/>
              <w:szCs w:val="24"/>
            </w:rPr>
            <w:tab/>
          </w:r>
          <w:bookmarkStart w:id="9" w:name="_Toc779912099_WPSOffice_Level1Page"/>
          <w:r>
            <w:rPr>
              <w:rFonts w:hint="eastAsia" w:ascii="仿宋_GB2312" w:hAnsi="仿宋_GB2312" w:eastAsia="仿宋_GB2312" w:cs="仿宋_GB2312"/>
              <w:sz w:val="24"/>
              <w:szCs w:val="24"/>
            </w:rPr>
            <w:t>16</w:t>
          </w:r>
          <w:bookmarkEnd w:id="9"/>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_Toc1231401070_WPSOffice_Level2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c233169-03e5-4eaf-87a2-dabc3578615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（一）健全领导指挥体制</w:t>
              </w:r>
            </w:sdtContent>
          </w:sdt>
          <w:r>
            <w:rPr>
              <w:rFonts w:hint="eastAsia" w:ascii="仿宋_GB2312" w:hAnsi="仿宋_GB2312" w:eastAsia="仿宋_GB2312" w:cs="仿宋_GB2312"/>
              <w:sz w:val="24"/>
              <w:szCs w:val="24"/>
            </w:rPr>
            <w:tab/>
          </w:r>
          <w:bookmarkStart w:id="10" w:name="_Toc1231401070_WPSOffice_Level2Page"/>
          <w:r>
            <w:rPr>
              <w:rFonts w:hint="eastAsia" w:ascii="仿宋_GB2312" w:hAnsi="仿宋_GB2312" w:eastAsia="仿宋_GB2312" w:cs="仿宋_GB2312"/>
              <w:sz w:val="24"/>
              <w:szCs w:val="24"/>
            </w:rPr>
            <w:t>16</w:t>
          </w:r>
          <w:bookmarkEnd w:id="10"/>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_Toc777863262_WPSOffice_Level2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7395a35d-76ba-4580-b83c-8c0db338fc5e}"/>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（二）完善监管监察体制</w:t>
              </w:r>
            </w:sdtContent>
          </w:sdt>
          <w:r>
            <w:rPr>
              <w:rFonts w:hint="eastAsia" w:ascii="仿宋_GB2312" w:hAnsi="仿宋_GB2312" w:eastAsia="仿宋_GB2312" w:cs="仿宋_GB2312"/>
              <w:sz w:val="24"/>
              <w:szCs w:val="24"/>
            </w:rPr>
            <w:tab/>
          </w:r>
          <w:bookmarkStart w:id="11" w:name="_Toc777863262_WPSOffice_Level2Page"/>
          <w:r>
            <w:rPr>
              <w:rFonts w:hint="eastAsia" w:ascii="仿宋_GB2312" w:hAnsi="仿宋_GB2312" w:eastAsia="仿宋_GB2312" w:cs="仿宋_GB2312"/>
              <w:sz w:val="24"/>
              <w:szCs w:val="24"/>
            </w:rPr>
            <w:t>16</w:t>
          </w:r>
          <w:bookmarkEnd w:id="11"/>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_Toc804184084_WPSOffice_Level2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f024398a-1272-4a77-86a8-ae7e717582ea}"/>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（三）优化应急协同机制</w:t>
              </w:r>
            </w:sdtContent>
          </w:sdt>
          <w:r>
            <w:rPr>
              <w:rFonts w:hint="eastAsia" w:ascii="仿宋_GB2312" w:hAnsi="仿宋_GB2312" w:eastAsia="仿宋_GB2312" w:cs="仿宋_GB2312"/>
              <w:sz w:val="24"/>
              <w:szCs w:val="24"/>
            </w:rPr>
            <w:tab/>
          </w:r>
          <w:bookmarkStart w:id="12" w:name="_Toc804184084_WPSOffice_Level2Page"/>
          <w:r>
            <w:rPr>
              <w:rFonts w:hint="eastAsia" w:ascii="仿宋_GB2312" w:hAnsi="仿宋_GB2312" w:eastAsia="仿宋_GB2312" w:cs="仿宋_GB2312"/>
              <w:sz w:val="24"/>
              <w:szCs w:val="24"/>
            </w:rPr>
            <w:t>17</w:t>
          </w:r>
          <w:bookmarkEnd w:id="12"/>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_Toc992054018_WPSOffice_Level2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5d3cb0e4-06f6-436b-90dd-2c27014e1565}"/>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（四）压实应急管理责任</w:t>
              </w:r>
            </w:sdtContent>
          </w:sdt>
          <w:r>
            <w:rPr>
              <w:rFonts w:hint="eastAsia" w:ascii="仿宋_GB2312" w:hAnsi="仿宋_GB2312" w:eastAsia="仿宋_GB2312" w:cs="仿宋_GB2312"/>
              <w:sz w:val="24"/>
              <w:szCs w:val="24"/>
            </w:rPr>
            <w:tab/>
          </w:r>
          <w:bookmarkStart w:id="13" w:name="_Toc992054018_WPSOffice_Level2Page"/>
          <w:r>
            <w:rPr>
              <w:rFonts w:hint="eastAsia" w:ascii="仿宋_GB2312" w:hAnsi="仿宋_GB2312" w:eastAsia="仿宋_GB2312" w:cs="仿宋_GB2312"/>
              <w:sz w:val="24"/>
              <w:szCs w:val="24"/>
            </w:rPr>
            <w:t>17</w:t>
          </w:r>
          <w:bookmarkEnd w:id="13"/>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_Toc925968195_WPSOffice_Level1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3722da4-bb12-42b5-9feb-b1d35835d787}"/>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第四章 推进应急法治体系建设</w:t>
              </w:r>
            </w:sdtContent>
          </w:sdt>
          <w:r>
            <w:rPr>
              <w:rFonts w:hint="eastAsia" w:ascii="仿宋_GB2312" w:hAnsi="仿宋_GB2312" w:eastAsia="仿宋_GB2312" w:cs="仿宋_GB2312"/>
              <w:sz w:val="24"/>
              <w:szCs w:val="24"/>
            </w:rPr>
            <w:tab/>
          </w:r>
          <w:bookmarkStart w:id="14" w:name="_Toc925968195_WPSOffice_Level1Page"/>
          <w:r>
            <w:rPr>
              <w:rFonts w:hint="eastAsia" w:ascii="仿宋_GB2312" w:hAnsi="仿宋_GB2312" w:eastAsia="仿宋_GB2312" w:cs="仿宋_GB2312"/>
              <w:sz w:val="24"/>
              <w:szCs w:val="24"/>
            </w:rPr>
            <w:t>20</w:t>
          </w:r>
          <w:bookmarkEnd w:id="14"/>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_Toc1489951469_WPSOffice_Level2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ed51a7cd-481c-48ab-b571-5ce9ce951cd4}"/>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（一）推进依法行政决策</w:t>
              </w:r>
            </w:sdtContent>
          </w:sdt>
          <w:r>
            <w:rPr>
              <w:rFonts w:hint="eastAsia" w:ascii="仿宋_GB2312" w:hAnsi="仿宋_GB2312" w:eastAsia="仿宋_GB2312" w:cs="仿宋_GB2312"/>
              <w:sz w:val="24"/>
              <w:szCs w:val="24"/>
            </w:rPr>
            <w:tab/>
          </w:r>
          <w:bookmarkStart w:id="15" w:name="_Toc1489951469_WPSOffice_Level2Page"/>
          <w:r>
            <w:rPr>
              <w:rFonts w:hint="eastAsia" w:ascii="仿宋_GB2312" w:hAnsi="仿宋_GB2312" w:eastAsia="仿宋_GB2312" w:cs="仿宋_GB2312"/>
              <w:sz w:val="24"/>
              <w:szCs w:val="24"/>
            </w:rPr>
            <w:t>20</w:t>
          </w:r>
          <w:bookmarkEnd w:id="15"/>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_Toc1287477558_WPSOffice_Level2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74ad05b3-d602-4602-b188-dc97a83215e7}"/>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（二）强化安全生产执法</w:t>
              </w:r>
            </w:sdtContent>
          </w:sdt>
          <w:r>
            <w:rPr>
              <w:rFonts w:hint="eastAsia" w:ascii="仿宋_GB2312" w:hAnsi="仿宋_GB2312" w:eastAsia="仿宋_GB2312" w:cs="仿宋_GB2312"/>
              <w:sz w:val="24"/>
              <w:szCs w:val="24"/>
            </w:rPr>
            <w:tab/>
          </w:r>
          <w:bookmarkStart w:id="16" w:name="_Toc1287477558_WPSOffice_Level2Page"/>
          <w:r>
            <w:rPr>
              <w:rFonts w:hint="eastAsia" w:ascii="仿宋_GB2312" w:hAnsi="仿宋_GB2312" w:eastAsia="仿宋_GB2312" w:cs="仿宋_GB2312"/>
              <w:sz w:val="24"/>
              <w:szCs w:val="24"/>
            </w:rPr>
            <w:t>20</w:t>
          </w:r>
          <w:bookmarkEnd w:id="16"/>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_Toc1557405330_WPSOffice_Level2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f5e54721-e7d6-4975-80bc-d3ab487f562a}"/>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（三）推进应急标准建设</w:t>
              </w:r>
            </w:sdtContent>
          </w:sdt>
          <w:r>
            <w:rPr>
              <w:rFonts w:hint="eastAsia" w:ascii="仿宋_GB2312" w:hAnsi="仿宋_GB2312" w:eastAsia="仿宋_GB2312" w:cs="仿宋_GB2312"/>
              <w:sz w:val="24"/>
              <w:szCs w:val="24"/>
            </w:rPr>
            <w:tab/>
          </w:r>
          <w:bookmarkStart w:id="17" w:name="_Toc1557405330_WPSOffice_Level2Page"/>
          <w:r>
            <w:rPr>
              <w:rFonts w:hint="eastAsia" w:ascii="仿宋_GB2312" w:hAnsi="仿宋_GB2312" w:eastAsia="仿宋_GB2312" w:cs="仿宋_GB2312"/>
              <w:sz w:val="24"/>
              <w:szCs w:val="24"/>
            </w:rPr>
            <w:t>21</w:t>
          </w:r>
          <w:bookmarkEnd w:id="17"/>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_Toc1864914550_WPSOffice_Level1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489c7d61-5ff3-4888-8548-95ed3965b651}"/>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第五章 推进风险防控体系建设</w:t>
              </w:r>
            </w:sdtContent>
          </w:sdt>
          <w:r>
            <w:rPr>
              <w:rFonts w:hint="eastAsia" w:ascii="仿宋_GB2312" w:hAnsi="仿宋_GB2312" w:eastAsia="仿宋_GB2312" w:cs="仿宋_GB2312"/>
              <w:sz w:val="24"/>
              <w:szCs w:val="24"/>
            </w:rPr>
            <w:tab/>
          </w:r>
          <w:bookmarkStart w:id="18" w:name="_Toc1864914550_WPSOffice_Level1Page"/>
          <w:r>
            <w:rPr>
              <w:rFonts w:hint="eastAsia" w:ascii="仿宋_GB2312" w:hAnsi="仿宋_GB2312" w:eastAsia="仿宋_GB2312" w:cs="仿宋_GB2312"/>
              <w:sz w:val="24"/>
              <w:szCs w:val="24"/>
            </w:rPr>
            <w:t>22</w:t>
          </w:r>
          <w:bookmarkEnd w:id="18"/>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_Toc1599492504_WPSOffice_Level2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6650f6d5-b2fd-4571-9ed5-bbb61bddae82}"/>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（一）健全灾害风险分级分类管理体系</w:t>
              </w:r>
            </w:sdtContent>
          </w:sdt>
          <w:r>
            <w:rPr>
              <w:rFonts w:hint="eastAsia" w:ascii="仿宋_GB2312" w:hAnsi="仿宋_GB2312" w:eastAsia="仿宋_GB2312" w:cs="仿宋_GB2312"/>
              <w:sz w:val="24"/>
              <w:szCs w:val="24"/>
            </w:rPr>
            <w:tab/>
          </w:r>
          <w:bookmarkStart w:id="19" w:name="_Toc1599492504_WPSOffice_Level2Page"/>
          <w:r>
            <w:rPr>
              <w:rFonts w:hint="eastAsia" w:ascii="仿宋_GB2312" w:hAnsi="仿宋_GB2312" w:eastAsia="仿宋_GB2312" w:cs="仿宋_GB2312"/>
              <w:sz w:val="24"/>
              <w:szCs w:val="24"/>
            </w:rPr>
            <w:t>22</w:t>
          </w:r>
          <w:bookmarkEnd w:id="19"/>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_Toc1941952468_WPSOffice_Level2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37d635dc-fa73-4a41-b90e-aa97c593455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（二）健全监测预报预警体系</w:t>
              </w:r>
            </w:sdtContent>
          </w:sdt>
          <w:r>
            <w:rPr>
              <w:rFonts w:hint="eastAsia" w:ascii="仿宋_GB2312" w:hAnsi="仿宋_GB2312" w:eastAsia="仿宋_GB2312" w:cs="仿宋_GB2312"/>
              <w:sz w:val="24"/>
              <w:szCs w:val="24"/>
            </w:rPr>
            <w:tab/>
          </w:r>
          <w:bookmarkStart w:id="20" w:name="_Toc1941952468_WPSOffice_Level2Page"/>
          <w:r>
            <w:rPr>
              <w:rFonts w:hint="eastAsia" w:ascii="仿宋_GB2312" w:hAnsi="仿宋_GB2312" w:eastAsia="仿宋_GB2312" w:cs="仿宋_GB2312"/>
              <w:sz w:val="24"/>
              <w:szCs w:val="24"/>
            </w:rPr>
            <w:t>22</w:t>
          </w:r>
          <w:bookmarkEnd w:id="20"/>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_Toc1609802500_WPSOffice_Level2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4ce05003-4c75-4a2a-aba0-d586e1dde686}"/>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（三）健全安全预防控制体系</w:t>
              </w:r>
            </w:sdtContent>
          </w:sdt>
          <w:r>
            <w:rPr>
              <w:rFonts w:hint="eastAsia" w:ascii="仿宋_GB2312" w:hAnsi="仿宋_GB2312" w:eastAsia="仿宋_GB2312" w:cs="仿宋_GB2312"/>
              <w:sz w:val="24"/>
              <w:szCs w:val="24"/>
            </w:rPr>
            <w:tab/>
          </w:r>
          <w:bookmarkStart w:id="21" w:name="_Toc1609802500_WPSOffice_Level2Page"/>
          <w:r>
            <w:rPr>
              <w:rFonts w:hint="eastAsia" w:ascii="仿宋_GB2312" w:hAnsi="仿宋_GB2312" w:eastAsia="仿宋_GB2312" w:cs="仿宋_GB2312"/>
              <w:sz w:val="24"/>
              <w:szCs w:val="24"/>
            </w:rPr>
            <w:t>23</w:t>
          </w:r>
          <w:bookmarkEnd w:id="21"/>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_Toc2086245786_WPSOffice_Level2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3f54560-3eb9-40d1-981a-4d8a4db5c5af}"/>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（四）加强自然灾害综合治理</w:t>
              </w:r>
            </w:sdtContent>
          </w:sdt>
          <w:r>
            <w:rPr>
              <w:rFonts w:hint="eastAsia" w:ascii="仿宋_GB2312" w:hAnsi="仿宋_GB2312" w:eastAsia="仿宋_GB2312" w:cs="仿宋_GB2312"/>
              <w:sz w:val="24"/>
              <w:szCs w:val="24"/>
            </w:rPr>
            <w:tab/>
          </w:r>
          <w:bookmarkStart w:id="22" w:name="_Toc2086245786_WPSOffice_Level2Page"/>
          <w:r>
            <w:rPr>
              <w:rFonts w:hint="eastAsia" w:ascii="仿宋_GB2312" w:hAnsi="仿宋_GB2312" w:eastAsia="仿宋_GB2312" w:cs="仿宋_GB2312"/>
              <w:sz w:val="24"/>
              <w:szCs w:val="24"/>
            </w:rPr>
            <w:t>25</w:t>
          </w:r>
          <w:bookmarkEnd w:id="22"/>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_Toc1902299452_WPSOffice_Level1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3d413f5-85be-42b7-bc19-62b1d3841047}"/>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第六章 加强应急处置能力建设</w:t>
              </w:r>
            </w:sdtContent>
          </w:sdt>
          <w:r>
            <w:rPr>
              <w:rFonts w:hint="eastAsia" w:ascii="仿宋_GB2312" w:hAnsi="仿宋_GB2312" w:eastAsia="仿宋_GB2312" w:cs="仿宋_GB2312"/>
              <w:sz w:val="24"/>
              <w:szCs w:val="24"/>
            </w:rPr>
            <w:tab/>
          </w:r>
          <w:bookmarkStart w:id="23" w:name="_Toc1902299452_WPSOffice_Level1Page"/>
          <w:r>
            <w:rPr>
              <w:rFonts w:hint="eastAsia" w:ascii="仿宋_GB2312" w:hAnsi="仿宋_GB2312" w:eastAsia="仿宋_GB2312" w:cs="仿宋_GB2312"/>
              <w:sz w:val="24"/>
              <w:szCs w:val="24"/>
            </w:rPr>
            <w:t>27</w:t>
          </w:r>
          <w:bookmarkEnd w:id="23"/>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_Toc353149117_WPSOffice_Level2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bf7d8ec4-5d85-47ac-b954-cf821d92b0d4}"/>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（一）强化综合性应急救援队伍建设</w:t>
              </w:r>
            </w:sdtContent>
          </w:sdt>
          <w:r>
            <w:rPr>
              <w:rFonts w:hint="eastAsia" w:ascii="仿宋_GB2312" w:hAnsi="仿宋_GB2312" w:eastAsia="仿宋_GB2312" w:cs="仿宋_GB2312"/>
              <w:sz w:val="24"/>
              <w:szCs w:val="24"/>
            </w:rPr>
            <w:tab/>
          </w:r>
          <w:bookmarkStart w:id="24" w:name="_Toc353149117_WPSOffice_Level2Page"/>
          <w:r>
            <w:rPr>
              <w:rFonts w:hint="eastAsia" w:ascii="仿宋_GB2312" w:hAnsi="仿宋_GB2312" w:eastAsia="仿宋_GB2312" w:cs="仿宋_GB2312"/>
              <w:sz w:val="24"/>
              <w:szCs w:val="24"/>
            </w:rPr>
            <w:t>27</w:t>
          </w:r>
          <w:bookmarkEnd w:id="24"/>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_Toc2132626429_WPSOffice_Level2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3817a67-b718-42f8-b647-a1d8baa3698e}"/>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（二）加强行业专业救援队伍建设</w:t>
              </w:r>
            </w:sdtContent>
          </w:sdt>
          <w:r>
            <w:rPr>
              <w:rFonts w:hint="eastAsia" w:ascii="仿宋_GB2312" w:hAnsi="仿宋_GB2312" w:eastAsia="仿宋_GB2312" w:cs="仿宋_GB2312"/>
              <w:sz w:val="24"/>
              <w:szCs w:val="24"/>
            </w:rPr>
            <w:tab/>
          </w:r>
          <w:bookmarkStart w:id="25" w:name="_Toc2132626429_WPSOffice_Level2Page"/>
          <w:r>
            <w:rPr>
              <w:rFonts w:hint="eastAsia" w:ascii="仿宋_GB2312" w:hAnsi="仿宋_GB2312" w:eastAsia="仿宋_GB2312" w:cs="仿宋_GB2312"/>
              <w:sz w:val="24"/>
              <w:szCs w:val="24"/>
            </w:rPr>
            <w:t>27</w:t>
          </w:r>
          <w:bookmarkEnd w:id="25"/>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_Toc1365418701_WPSOffice_Level2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bdb1e5d5-e295-4121-9af5-05fa71b5b1d0}"/>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（三）强化应急救援装备现代化建设</w:t>
              </w:r>
            </w:sdtContent>
          </w:sdt>
          <w:r>
            <w:rPr>
              <w:rFonts w:hint="eastAsia" w:ascii="仿宋_GB2312" w:hAnsi="仿宋_GB2312" w:eastAsia="仿宋_GB2312" w:cs="仿宋_GB2312"/>
              <w:sz w:val="24"/>
              <w:szCs w:val="24"/>
            </w:rPr>
            <w:tab/>
          </w:r>
          <w:bookmarkStart w:id="26" w:name="_Toc1365418701_WPSOffice_Level2Page"/>
          <w:r>
            <w:rPr>
              <w:rFonts w:hint="eastAsia" w:ascii="仿宋_GB2312" w:hAnsi="仿宋_GB2312" w:eastAsia="仿宋_GB2312" w:cs="仿宋_GB2312"/>
              <w:sz w:val="24"/>
              <w:szCs w:val="24"/>
            </w:rPr>
            <w:t>28</w:t>
          </w:r>
          <w:bookmarkEnd w:id="26"/>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_Toc1702312163_WPSOffice_Level2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d698c1e-88ea-445e-bbcc-cf78240a5ef2}"/>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（四）推进应急救援基地建设</w:t>
              </w:r>
            </w:sdtContent>
          </w:sdt>
          <w:r>
            <w:rPr>
              <w:rFonts w:hint="eastAsia" w:ascii="仿宋_GB2312" w:hAnsi="仿宋_GB2312" w:eastAsia="仿宋_GB2312" w:cs="仿宋_GB2312"/>
              <w:sz w:val="24"/>
              <w:szCs w:val="24"/>
            </w:rPr>
            <w:tab/>
          </w:r>
          <w:bookmarkStart w:id="27" w:name="_Toc1702312163_WPSOffice_Level2Page"/>
          <w:r>
            <w:rPr>
              <w:rFonts w:hint="eastAsia" w:ascii="仿宋_GB2312" w:hAnsi="仿宋_GB2312" w:eastAsia="仿宋_GB2312" w:cs="仿宋_GB2312"/>
              <w:sz w:val="24"/>
              <w:szCs w:val="24"/>
            </w:rPr>
            <w:t>28</w:t>
          </w:r>
          <w:bookmarkEnd w:id="27"/>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_Toc75388208_WPSOffice_Level2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891679b2-c191-4a94-80d5-205f06a21270}"/>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（五）加强综合应急专家队伍建设</w:t>
              </w:r>
            </w:sdtContent>
          </w:sdt>
          <w:r>
            <w:rPr>
              <w:rFonts w:hint="eastAsia" w:ascii="仿宋_GB2312" w:hAnsi="仿宋_GB2312" w:eastAsia="仿宋_GB2312" w:cs="仿宋_GB2312"/>
              <w:sz w:val="24"/>
              <w:szCs w:val="24"/>
            </w:rPr>
            <w:tab/>
          </w:r>
          <w:bookmarkStart w:id="28" w:name="_Toc75388208_WPSOffice_Level2Page"/>
          <w:r>
            <w:rPr>
              <w:rFonts w:hint="eastAsia" w:ascii="仿宋_GB2312" w:hAnsi="仿宋_GB2312" w:eastAsia="仿宋_GB2312" w:cs="仿宋_GB2312"/>
              <w:sz w:val="24"/>
              <w:szCs w:val="24"/>
            </w:rPr>
            <w:t>28</w:t>
          </w:r>
          <w:bookmarkEnd w:id="28"/>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_Toc194049428_WPSOffice_Level2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38f1c39-e688-460b-b999-a2a7bbe6a0db}"/>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（六）支持社会力量救援队伍建设</w:t>
              </w:r>
            </w:sdtContent>
          </w:sdt>
          <w:r>
            <w:rPr>
              <w:rFonts w:hint="eastAsia" w:ascii="仿宋_GB2312" w:hAnsi="仿宋_GB2312" w:eastAsia="仿宋_GB2312" w:cs="仿宋_GB2312"/>
              <w:sz w:val="24"/>
              <w:szCs w:val="24"/>
            </w:rPr>
            <w:tab/>
          </w:r>
          <w:bookmarkStart w:id="29" w:name="_Toc194049428_WPSOffice_Level2Page"/>
          <w:r>
            <w:rPr>
              <w:rFonts w:hint="eastAsia" w:ascii="仿宋_GB2312" w:hAnsi="仿宋_GB2312" w:eastAsia="仿宋_GB2312" w:cs="仿宋_GB2312"/>
              <w:sz w:val="24"/>
              <w:szCs w:val="24"/>
            </w:rPr>
            <w:t>29</w:t>
          </w:r>
          <w:bookmarkEnd w:id="29"/>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_Toc1040359143_WPSOffice_Level2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d1788f71-aad1-46ba-9896-4c688cf0caf7}"/>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（七）推进激励保障体系建设</w:t>
              </w:r>
            </w:sdtContent>
          </w:sdt>
          <w:r>
            <w:rPr>
              <w:rFonts w:hint="eastAsia" w:ascii="仿宋_GB2312" w:hAnsi="仿宋_GB2312" w:eastAsia="仿宋_GB2312" w:cs="仿宋_GB2312"/>
              <w:sz w:val="24"/>
              <w:szCs w:val="24"/>
            </w:rPr>
            <w:tab/>
          </w:r>
          <w:bookmarkStart w:id="30" w:name="_Toc1040359143_WPSOffice_Level2Page"/>
          <w:r>
            <w:rPr>
              <w:rFonts w:hint="eastAsia" w:ascii="仿宋_GB2312" w:hAnsi="仿宋_GB2312" w:eastAsia="仿宋_GB2312" w:cs="仿宋_GB2312"/>
              <w:sz w:val="24"/>
              <w:szCs w:val="24"/>
            </w:rPr>
            <w:t>29</w:t>
          </w:r>
          <w:bookmarkEnd w:id="30"/>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_Toc41873610_WPSOffice_Level1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10341e91-9c3c-4d64-9cb3-49e55985a1f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第七章 加强应急保障能力建设</w:t>
              </w:r>
            </w:sdtContent>
          </w:sdt>
          <w:r>
            <w:rPr>
              <w:rFonts w:hint="eastAsia" w:ascii="仿宋_GB2312" w:hAnsi="仿宋_GB2312" w:eastAsia="仿宋_GB2312" w:cs="仿宋_GB2312"/>
              <w:sz w:val="24"/>
              <w:szCs w:val="24"/>
            </w:rPr>
            <w:tab/>
          </w:r>
          <w:bookmarkStart w:id="31" w:name="_Toc41873610_WPSOffice_Level1Page"/>
          <w:r>
            <w:rPr>
              <w:rFonts w:hint="eastAsia" w:ascii="仿宋_GB2312" w:hAnsi="仿宋_GB2312" w:eastAsia="仿宋_GB2312" w:cs="仿宋_GB2312"/>
              <w:sz w:val="24"/>
              <w:szCs w:val="24"/>
            </w:rPr>
            <w:t>31</w:t>
          </w:r>
          <w:bookmarkEnd w:id="31"/>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_Toc669746999_WPSOffice_Level2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8b7d406-5031-4a4a-953c-d7a710a9aa26}"/>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（一）强化应急预案准备</w:t>
              </w:r>
            </w:sdtContent>
          </w:sdt>
          <w:r>
            <w:rPr>
              <w:rFonts w:hint="eastAsia" w:ascii="仿宋_GB2312" w:hAnsi="仿宋_GB2312" w:eastAsia="仿宋_GB2312" w:cs="仿宋_GB2312"/>
              <w:sz w:val="24"/>
              <w:szCs w:val="24"/>
            </w:rPr>
            <w:tab/>
          </w:r>
          <w:bookmarkStart w:id="32" w:name="_Toc669746999_WPSOffice_Level2Page"/>
          <w:r>
            <w:rPr>
              <w:rFonts w:hint="eastAsia" w:ascii="仿宋_GB2312" w:hAnsi="仿宋_GB2312" w:eastAsia="仿宋_GB2312" w:cs="仿宋_GB2312"/>
              <w:sz w:val="24"/>
              <w:szCs w:val="24"/>
            </w:rPr>
            <w:t>31</w:t>
          </w:r>
          <w:bookmarkEnd w:id="32"/>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_Toc168832892_WPSOffice_Level2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25e5636-caf7-44b8-be39-245da716e1f6}"/>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（二）加强应急物资保障</w:t>
              </w:r>
            </w:sdtContent>
          </w:sdt>
          <w:r>
            <w:rPr>
              <w:rFonts w:hint="eastAsia" w:ascii="仿宋_GB2312" w:hAnsi="仿宋_GB2312" w:eastAsia="仿宋_GB2312" w:cs="仿宋_GB2312"/>
              <w:sz w:val="24"/>
              <w:szCs w:val="24"/>
            </w:rPr>
            <w:tab/>
          </w:r>
          <w:bookmarkStart w:id="33" w:name="_Toc168832892_WPSOffice_Level2Page"/>
          <w:r>
            <w:rPr>
              <w:rFonts w:hint="eastAsia" w:ascii="仿宋_GB2312" w:hAnsi="仿宋_GB2312" w:eastAsia="仿宋_GB2312" w:cs="仿宋_GB2312"/>
              <w:sz w:val="24"/>
              <w:szCs w:val="24"/>
            </w:rPr>
            <w:t>31</w:t>
          </w:r>
          <w:bookmarkEnd w:id="33"/>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_Toc1978104454_WPSOffice_Level2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3b5b72ed-8f3f-40c0-9b67-807488f2f8e5}"/>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（三）健全交通运输保障</w:t>
              </w:r>
            </w:sdtContent>
          </w:sdt>
          <w:r>
            <w:rPr>
              <w:rFonts w:hint="eastAsia" w:ascii="仿宋_GB2312" w:hAnsi="仿宋_GB2312" w:eastAsia="仿宋_GB2312" w:cs="仿宋_GB2312"/>
              <w:sz w:val="24"/>
              <w:szCs w:val="24"/>
            </w:rPr>
            <w:tab/>
          </w:r>
          <w:bookmarkStart w:id="34" w:name="_Toc1978104454_WPSOffice_Level2Page"/>
          <w:r>
            <w:rPr>
              <w:rFonts w:hint="eastAsia" w:ascii="仿宋_GB2312" w:hAnsi="仿宋_GB2312" w:eastAsia="仿宋_GB2312" w:cs="仿宋_GB2312"/>
              <w:sz w:val="24"/>
              <w:szCs w:val="24"/>
            </w:rPr>
            <w:t>32</w:t>
          </w:r>
          <w:bookmarkEnd w:id="34"/>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_Toc2016222949_WPSOffice_Level2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90e2c26-5434-4aaf-b5eb-325b7f327ada}"/>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（四）强化应急通信保障</w:t>
              </w:r>
            </w:sdtContent>
          </w:sdt>
          <w:r>
            <w:rPr>
              <w:rFonts w:hint="eastAsia" w:ascii="仿宋_GB2312" w:hAnsi="仿宋_GB2312" w:eastAsia="仿宋_GB2312" w:cs="仿宋_GB2312"/>
              <w:sz w:val="24"/>
              <w:szCs w:val="24"/>
            </w:rPr>
            <w:tab/>
          </w:r>
          <w:bookmarkStart w:id="35" w:name="_Toc2016222949_WPSOffice_Level2Page"/>
          <w:r>
            <w:rPr>
              <w:rFonts w:hint="eastAsia" w:ascii="仿宋_GB2312" w:hAnsi="仿宋_GB2312" w:eastAsia="仿宋_GB2312" w:cs="仿宋_GB2312"/>
              <w:sz w:val="24"/>
              <w:szCs w:val="24"/>
            </w:rPr>
            <w:t>33</w:t>
          </w:r>
          <w:bookmarkEnd w:id="35"/>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_Toc1062839606_WPSOffice_Level2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83a0736f-c751-44aa-8aff-9a72bc8ef71d}"/>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（五）加强救助恢复保障</w:t>
              </w:r>
            </w:sdtContent>
          </w:sdt>
          <w:r>
            <w:rPr>
              <w:rFonts w:hint="eastAsia" w:ascii="仿宋_GB2312" w:hAnsi="仿宋_GB2312" w:eastAsia="仿宋_GB2312" w:cs="仿宋_GB2312"/>
              <w:sz w:val="24"/>
              <w:szCs w:val="24"/>
            </w:rPr>
            <w:tab/>
          </w:r>
          <w:bookmarkStart w:id="36" w:name="_Toc1062839606_WPSOffice_Level2Page"/>
          <w:r>
            <w:rPr>
              <w:rFonts w:hint="eastAsia" w:ascii="仿宋_GB2312" w:hAnsi="仿宋_GB2312" w:eastAsia="仿宋_GB2312" w:cs="仿宋_GB2312"/>
              <w:sz w:val="24"/>
              <w:szCs w:val="24"/>
            </w:rPr>
            <w:t>33</w:t>
          </w:r>
          <w:bookmarkEnd w:id="36"/>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_Toc1231401070_WPSOffice_Level1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f95e4998-0492-4818-9c2e-2e800988b077}"/>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第八章 加强应急科技支撑能力建设</w:t>
              </w:r>
            </w:sdtContent>
          </w:sdt>
          <w:r>
            <w:rPr>
              <w:rFonts w:hint="eastAsia" w:ascii="仿宋_GB2312" w:hAnsi="仿宋_GB2312" w:eastAsia="仿宋_GB2312" w:cs="仿宋_GB2312"/>
              <w:sz w:val="24"/>
              <w:szCs w:val="24"/>
            </w:rPr>
            <w:tab/>
          </w:r>
          <w:bookmarkStart w:id="37" w:name="_Toc1231401070_WPSOffice_Level1Page"/>
          <w:r>
            <w:rPr>
              <w:rFonts w:hint="eastAsia" w:ascii="仿宋_GB2312" w:hAnsi="仿宋_GB2312" w:eastAsia="仿宋_GB2312" w:cs="仿宋_GB2312"/>
              <w:sz w:val="24"/>
              <w:szCs w:val="24"/>
            </w:rPr>
            <w:t>34</w:t>
          </w:r>
          <w:bookmarkEnd w:id="37"/>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_Toc878019221_WPSOffice_Level2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d908bf81-8c53-4d25-bf22-6ad5ddd3fc61}"/>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（一）加强应急科技创新能力建设</w:t>
              </w:r>
            </w:sdtContent>
          </w:sdt>
          <w:r>
            <w:rPr>
              <w:rFonts w:hint="eastAsia" w:ascii="仿宋_GB2312" w:hAnsi="仿宋_GB2312" w:eastAsia="仿宋_GB2312" w:cs="仿宋_GB2312"/>
              <w:sz w:val="24"/>
              <w:szCs w:val="24"/>
            </w:rPr>
            <w:tab/>
          </w:r>
          <w:bookmarkStart w:id="38" w:name="_Toc878019221_WPSOffice_Level2Page"/>
          <w:r>
            <w:rPr>
              <w:rFonts w:hint="eastAsia" w:ascii="仿宋_GB2312" w:hAnsi="仿宋_GB2312" w:eastAsia="仿宋_GB2312" w:cs="仿宋_GB2312"/>
              <w:sz w:val="24"/>
              <w:szCs w:val="24"/>
            </w:rPr>
            <w:t>34</w:t>
          </w:r>
          <w:bookmarkEnd w:id="38"/>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_Toc745950700_WPSOffice_Level2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9f2c2f48-27ef-480d-ac86-3d7266966aa5}"/>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（二）加强应急人才培养</w:t>
              </w:r>
            </w:sdtContent>
          </w:sdt>
          <w:r>
            <w:rPr>
              <w:rFonts w:hint="eastAsia" w:ascii="仿宋_GB2312" w:hAnsi="仿宋_GB2312" w:eastAsia="仿宋_GB2312" w:cs="仿宋_GB2312"/>
              <w:sz w:val="24"/>
              <w:szCs w:val="24"/>
            </w:rPr>
            <w:tab/>
          </w:r>
          <w:bookmarkStart w:id="39" w:name="_Toc745950700_WPSOffice_Level2Page"/>
          <w:r>
            <w:rPr>
              <w:rFonts w:hint="eastAsia" w:ascii="仿宋_GB2312" w:hAnsi="仿宋_GB2312" w:eastAsia="仿宋_GB2312" w:cs="仿宋_GB2312"/>
              <w:sz w:val="24"/>
              <w:szCs w:val="24"/>
            </w:rPr>
            <w:t>34</w:t>
          </w:r>
          <w:bookmarkEnd w:id="39"/>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_Toc1593831980_WPSOffice_Level2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3737b07c-1f7d-4343-8a2e-8c75cc7c206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（三）推进安全应急产业发展</w:t>
              </w:r>
            </w:sdtContent>
          </w:sdt>
          <w:r>
            <w:rPr>
              <w:rFonts w:hint="eastAsia" w:ascii="仿宋_GB2312" w:hAnsi="仿宋_GB2312" w:eastAsia="仿宋_GB2312" w:cs="仿宋_GB2312"/>
              <w:sz w:val="24"/>
              <w:szCs w:val="24"/>
            </w:rPr>
            <w:tab/>
          </w:r>
          <w:bookmarkStart w:id="40" w:name="_Toc1593831980_WPSOffice_Level2Page"/>
          <w:r>
            <w:rPr>
              <w:rFonts w:hint="eastAsia" w:ascii="仿宋_GB2312" w:hAnsi="仿宋_GB2312" w:eastAsia="仿宋_GB2312" w:cs="仿宋_GB2312"/>
              <w:sz w:val="24"/>
              <w:szCs w:val="24"/>
            </w:rPr>
            <w:t>36</w:t>
          </w:r>
          <w:bookmarkEnd w:id="40"/>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_Toc1657931320_WPSOffice_Level2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896d8dbc-11d1-4055-b3c3-d88a5b7e2011}"/>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（四）提高应急管理信息化水平</w:t>
              </w:r>
            </w:sdtContent>
          </w:sdt>
          <w:r>
            <w:rPr>
              <w:rFonts w:hint="eastAsia" w:ascii="仿宋_GB2312" w:hAnsi="仿宋_GB2312" w:eastAsia="仿宋_GB2312" w:cs="仿宋_GB2312"/>
              <w:sz w:val="24"/>
              <w:szCs w:val="24"/>
            </w:rPr>
            <w:tab/>
          </w:r>
          <w:bookmarkStart w:id="41" w:name="_Toc1657931320_WPSOffice_Level2Page"/>
          <w:r>
            <w:rPr>
              <w:rFonts w:hint="eastAsia" w:ascii="仿宋_GB2312" w:hAnsi="仿宋_GB2312" w:eastAsia="仿宋_GB2312" w:cs="仿宋_GB2312"/>
              <w:sz w:val="24"/>
              <w:szCs w:val="24"/>
            </w:rPr>
            <w:t>36</w:t>
          </w:r>
          <w:bookmarkEnd w:id="41"/>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_Toc777863262_WPSOffice_Level1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b4c198e-12b7-47bf-9dc4-1b230c2e775e}"/>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第九章 推动应急体系建设共建共治共享</w:t>
              </w:r>
            </w:sdtContent>
          </w:sdt>
          <w:r>
            <w:rPr>
              <w:rFonts w:hint="eastAsia" w:ascii="仿宋_GB2312" w:hAnsi="仿宋_GB2312" w:eastAsia="仿宋_GB2312" w:cs="仿宋_GB2312"/>
              <w:sz w:val="24"/>
              <w:szCs w:val="24"/>
            </w:rPr>
            <w:tab/>
          </w:r>
          <w:bookmarkStart w:id="42" w:name="_Toc777863262_WPSOffice_Level1Page"/>
          <w:r>
            <w:rPr>
              <w:rFonts w:hint="eastAsia" w:ascii="仿宋_GB2312" w:hAnsi="仿宋_GB2312" w:eastAsia="仿宋_GB2312" w:cs="仿宋_GB2312"/>
              <w:sz w:val="24"/>
              <w:szCs w:val="24"/>
            </w:rPr>
            <w:t>38</w:t>
          </w:r>
          <w:bookmarkEnd w:id="42"/>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_Toc1671918896_WPSOffice_Level2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2ab39b50-cb3a-47b5-9023-af33eff6b4a8}"/>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（一）提升基层治理能力</w:t>
              </w:r>
            </w:sdtContent>
          </w:sdt>
          <w:r>
            <w:rPr>
              <w:rFonts w:hint="eastAsia" w:ascii="仿宋_GB2312" w:hAnsi="仿宋_GB2312" w:eastAsia="仿宋_GB2312" w:cs="仿宋_GB2312"/>
              <w:sz w:val="24"/>
              <w:szCs w:val="24"/>
            </w:rPr>
            <w:tab/>
          </w:r>
          <w:bookmarkStart w:id="43" w:name="_Toc1671918896_WPSOffice_Level2Page"/>
          <w:r>
            <w:rPr>
              <w:rFonts w:hint="eastAsia" w:ascii="仿宋_GB2312" w:hAnsi="仿宋_GB2312" w:eastAsia="仿宋_GB2312" w:cs="仿宋_GB2312"/>
              <w:sz w:val="24"/>
              <w:szCs w:val="24"/>
            </w:rPr>
            <w:t>38</w:t>
          </w:r>
          <w:bookmarkEnd w:id="43"/>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_Toc1311262882_WPSOffice_Level2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9dbdf6c3-c7f4-47c2-ab29-9dd8d9283f80}"/>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（二）加强安全文化建设</w:t>
              </w:r>
            </w:sdtContent>
          </w:sdt>
          <w:r>
            <w:rPr>
              <w:rFonts w:hint="eastAsia" w:ascii="仿宋_GB2312" w:hAnsi="仿宋_GB2312" w:eastAsia="仿宋_GB2312" w:cs="仿宋_GB2312"/>
              <w:sz w:val="24"/>
              <w:szCs w:val="24"/>
            </w:rPr>
            <w:tab/>
          </w:r>
          <w:bookmarkStart w:id="44" w:name="_Toc1311262882_WPSOffice_Level2Page"/>
          <w:r>
            <w:rPr>
              <w:rFonts w:hint="eastAsia" w:ascii="仿宋_GB2312" w:hAnsi="仿宋_GB2312" w:eastAsia="仿宋_GB2312" w:cs="仿宋_GB2312"/>
              <w:sz w:val="24"/>
              <w:szCs w:val="24"/>
            </w:rPr>
            <w:t>38</w:t>
          </w:r>
          <w:bookmarkEnd w:id="44"/>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_Toc1412747124_WPSOffice_Level2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79ce6d61-6283-48fd-bb62-7878267c2fc1}"/>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（三）发挥社会与市场作用</w:t>
              </w:r>
            </w:sdtContent>
          </w:sdt>
          <w:r>
            <w:rPr>
              <w:rFonts w:hint="eastAsia" w:ascii="仿宋_GB2312" w:hAnsi="仿宋_GB2312" w:eastAsia="仿宋_GB2312" w:cs="仿宋_GB2312"/>
              <w:sz w:val="24"/>
              <w:szCs w:val="24"/>
            </w:rPr>
            <w:tab/>
          </w:r>
          <w:bookmarkStart w:id="45" w:name="_Toc1412747124_WPSOffice_Level2Page"/>
          <w:r>
            <w:rPr>
              <w:rFonts w:hint="eastAsia" w:ascii="仿宋_GB2312" w:hAnsi="仿宋_GB2312" w:eastAsia="仿宋_GB2312" w:cs="仿宋_GB2312"/>
              <w:sz w:val="24"/>
              <w:szCs w:val="24"/>
            </w:rPr>
            <w:t>40</w:t>
          </w:r>
          <w:bookmarkEnd w:id="45"/>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_Toc804184084_WPSOffice_Level1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ad7edd65-2030-4389-ac2e-9182c5e2d2b3}"/>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第十章 重点建设工程和项目</w:t>
              </w:r>
            </w:sdtContent>
          </w:sdt>
          <w:r>
            <w:rPr>
              <w:rFonts w:hint="eastAsia" w:ascii="仿宋_GB2312" w:hAnsi="仿宋_GB2312" w:eastAsia="仿宋_GB2312" w:cs="仿宋_GB2312"/>
              <w:sz w:val="24"/>
              <w:szCs w:val="24"/>
            </w:rPr>
            <w:tab/>
          </w:r>
          <w:bookmarkStart w:id="46" w:name="_Toc804184084_WPSOffice_Level1Page"/>
          <w:r>
            <w:rPr>
              <w:rFonts w:hint="eastAsia" w:ascii="仿宋_GB2312" w:hAnsi="仿宋_GB2312" w:eastAsia="仿宋_GB2312" w:cs="仿宋_GB2312"/>
              <w:sz w:val="24"/>
              <w:szCs w:val="24"/>
            </w:rPr>
            <w:t>41</w:t>
          </w:r>
          <w:bookmarkEnd w:id="46"/>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_Toc1713792506_WPSOffice_Level2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41b9d21b-6f8e-4cf6-aa10-114f563a0493}"/>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（一）应急指挥系统建设项目</w:t>
              </w:r>
            </w:sdtContent>
          </w:sdt>
          <w:r>
            <w:rPr>
              <w:rFonts w:hint="eastAsia" w:ascii="仿宋_GB2312" w:hAnsi="仿宋_GB2312" w:eastAsia="仿宋_GB2312" w:cs="仿宋_GB2312"/>
              <w:sz w:val="24"/>
              <w:szCs w:val="24"/>
            </w:rPr>
            <w:tab/>
          </w:r>
          <w:bookmarkStart w:id="47" w:name="_Toc1713792506_WPSOffice_Level2Page"/>
          <w:r>
            <w:rPr>
              <w:rFonts w:hint="eastAsia" w:ascii="仿宋_GB2312" w:hAnsi="仿宋_GB2312" w:eastAsia="仿宋_GB2312" w:cs="仿宋_GB2312"/>
              <w:sz w:val="24"/>
              <w:szCs w:val="24"/>
            </w:rPr>
            <w:t>41</w:t>
          </w:r>
          <w:bookmarkEnd w:id="47"/>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_Toc395180304_WPSOffice_Level2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4af1b8af-12d5-4454-81ed-1fc3fb0ce63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（二）乌海市危险化学品应急救援基地建设项目</w:t>
              </w:r>
            </w:sdtContent>
          </w:sdt>
          <w:r>
            <w:rPr>
              <w:rFonts w:hint="eastAsia" w:ascii="仿宋_GB2312" w:hAnsi="仿宋_GB2312" w:eastAsia="仿宋_GB2312" w:cs="仿宋_GB2312"/>
              <w:sz w:val="24"/>
              <w:szCs w:val="24"/>
            </w:rPr>
            <w:tab/>
          </w:r>
          <w:bookmarkStart w:id="48" w:name="_Toc395180304_WPSOffice_Level2Page"/>
          <w:r>
            <w:rPr>
              <w:rFonts w:hint="eastAsia" w:ascii="仿宋_GB2312" w:hAnsi="仿宋_GB2312" w:eastAsia="仿宋_GB2312" w:cs="仿宋_GB2312"/>
              <w:sz w:val="24"/>
              <w:szCs w:val="24"/>
            </w:rPr>
            <w:t>41</w:t>
          </w:r>
          <w:bookmarkEnd w:id="48"/>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_Toc43126739_WPSOffice_Level2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e10c0e28-8a1b-4edc-b717-9aebd52e0db2}"/>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（三）危险化学品企业安全生产标准化建设工程</w:t>
              </w:r>
            </w:sdtContent>
          </w:sdt>
          <w:r>
            <w:rPr>
              <w:rFonts w:hint="eastAsia" w:ascii="仿宋_GB2312" w:hAnsi="仿宋_GB2312" w:eastAsia="仿宋_GB2312" w:cs="仿宋_GB2312"/>
              <w:sz w:val="24"/>
              <w:szCs w:val="24"/>
            </w:rPr>
            <w:tab/>
          </w:r>
          <w:bookmarkStart w:id="49" w:name="_Toc43126739_WPSOffice_Level2Page"/>
          <w:r>
            <w:rPr>
              <w:rFonts w:hint="eastAsia" w:ascii="仿宋_GB2312" w:hAnsi="仿宋_GB2312" w:eastAsia="仿宋_GB2312" w:cs="仿宋_GB2312"/>
              <w:sz w:val="24"/>
              <w:szCs w:val="24"/>
            </w:rPr>
            <w:t>41</w:t>
          </w:r>
          <w:bookmarkEnd w:id="49"/>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_Toc370492943_WPSOffice_Level2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db2f97fb-f907-4a22-b5fa-71020a682fc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（四）化工园区安全管理一体化建设工程</w:t>
              </w:r>
            </w:sdtContent>
          </w:sdt>
          <w:r>
            <w:rPr>
              <w:rFonts w:hint="eastAsia" w:ascii="仿宋_GB2312" w:hAnsi="仿宋_GB2312" w:eastAsia="仿宋_GB2312" w:cs="仿宋_GB2312"/>
              <w:sz w:val="24"/>
              <w:szCs w:val="24"/>
            </w:rPr>
            <w:tab/>
          </w:r>
          <w:bookmarkStart w:id="50" w:name="_Toc370492943_WPSOffice_Level2Page"/>
          <w:r>
            <w:rPr>
              <w:rFonts w:hint="eastAsia" w:ascii="仿宋_GB2312" w:hAnsi="仿宋_GB2312" w:eastAsia="仿宋_GB2312" w:cs="仿宋_GB2312"/>
              <w:sz w:val="24"/>
              <w:szCs w:val="24"/>
            </w:rPr>
            <w:t>42</w:t>
          </w:r>
          <w:bookmarkEnd w:id="50"/>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_Toc1387234323_WPSOffice_Level2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5acc107e-a8af-4202-a288-d40207ff3dd3}"/>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（五）化工和危险化学品企业安全人才培养工程</w:t>
              </w:r>
            </w:sdtContent>
          </w:sdt>
          <w:r>
            <w:rPr>
              <w:rFonts w:hint="eastAsia" w:ascii="仿宋_GB2312" w:hAnsi="仿宋_GB2312" w:eastAsia="仿宋_GB2312" w:cs="仿宋_GB2312"/>
              <w:sz w:val="24"/>
              <w:szCs w:val="24"/>
            </w:rPr>
            <w:tab/>
          </w:r>
          <w:bookmarkStart w:id="51" w:name="_Toc1387234323_WPSOffice_Level2Page"/>
          <w:r>
            <w:rPr>
              <w:rFonts w:hint="eastAsia" w:ascii="仿宋_GB2312" w:hAnsi="仿宋_GB2312" w:eastAsia="仿宋_GB2312" w:cs="仿宋_GB2312"/>
              <w:sz w:val="24"/>
              <w:szCs w:val="24"/>
            </w:rPr>
            <w:t>42</w:t>
          </w:r>
          <w:bookmarkEnd w:id="51"/>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_Toc1533078208_WPSOffice_Level2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b6170397-8a45-412f-885f-e8595aa5764b}"/>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（六）灾害风险调查和重点隐患排查工程</w:t>
              </w:r>
            </w:sdtContent>
          </w:sdt>
          <w:r>
            <w:rPr>
              <w:rFonts w:hint="eastAsia" w:ascii="仿宋_GB2312" w:hAnsi="仿宋_GB2312" w:eastAsia="仿宋_GB2312" w:cs="仿宋_GB2312"/>
              <w:sz w:val="24"/>
              <w:szCs w:val="24"/>
            </w:rPr>
            <w:tab/>
          </w:r>
          <w:bookmarkStart w:id="52" w:name="_Toc1533078208_WPSOffice_Level2Page"/>
          <w:r>
            <w:rPr>
              <w:rFonts w:hint="eastAsia" w:ascii="仿宋_GB2312" w:hAnsi="仿宋_GB2312" w:eastAsia="仿宋_GB2312" w:cs="仿宋_GB2312"/>
              <w:sz w:val="24"/>
              <w:szCs w:val="24"/>
            </w:rPr>
            <w:t>42</w:t>
          </w:r>
          <w:bookmarkEnd w:id="52"/>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_Toc1657970501_WPSOffice_Level2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94f7c4b0-66eb-4684-9e58-f8e9f72a1179}"/>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（七）自然灾害监测预警信息化工程</w:t>
              </w:r>
            </w:sdtContent>
          </w:sdt>
          <w:r>
            <w:rPr>
              <w:rFonts w:hint="eastAsia" w:ascii="仿宋_GB2312" w:hAnsi="仿宋_GB2312" w:eastAsia="仿宋_GB2312" w:cs="仿宋_GB2312"/>
              <w:sz w:val="24"/>
              <w:szCs w:val="24"/>
            </w:rPr>
            <w:tab/>
          </w:r>
          <w:bookmarkStart w:id="53" w:name="_Toc1657970501_WPSOffice_Level2Page"/>
          <w:r>
            <w:rPr>
              <w:rFonts w:hint="eastAsia" w:ascii="仿宋_GB2312" w:hAnsi="仿宋_GB2312" w:eastAsia="仿宋_GB2312" w:cs="仿宋_GB2312"/>
              <w:sz w:val="24"/>
              <w:szCs w:val="24"/>
            </w:rPr>
            <w:t>43</w:t>
          </w:r>
          <w:bookmarkEnd w:id="53"/>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_Toc797156005_WPSOffice_Level2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00d18502-1c1f-4ec3-8277-80ca7edd66da}"/>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（八）森林草原防灭火能力提升工程</w:t>
              </w:r>
            </w:sdtContent>
          </w:sdt>
          <w:r>
            <w:rPr>
              <w:rFonts w:hint="eastAsia" w:ascii="仿宋_GB2312" w:hAnsi="仿宋_GB2312" w:eastAsia="仿宋_GB2312" w:cs="仿宋_GB2312"/>
              <w:sz w:val="24"/>
              <w:szCs w:val="24"/>
            </w:rPr>
            <w:tab/>
          </w:r>
          <w:bookmarkStart w:id="54" w:name="_Toc797156005_WPSOffice_Level2Page"/>
          <w:r>
            <w:rPr>
              <w:rFonts w:hint="eastAsia" w:ascii="仿宋_GB2312" w:hAnsi="仿宋_GB2312" w:eastAsia="仿宋_GB2312" w:cs="仿宋_GB2312"/>
              <w:sz w:val="24"/>
              <w:szCs w:val="24"/>
            </w:rPr>
            <w:t>43</w:t>
          </w:r>
          <w:bookmarkEnd w:id="54"/>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_Toc985087064_WPSOffice_Level2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dbd78817-293f-4626-9464-75c78353e334}"/>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（九）防震减灾能力提升工程</w:t>
              </w:r>
            </w:sdtContent>
          </w:sdt>
          <w:r>
            <w:rPr>
              <w:rFonts w:hint="eastAsia" w:ascii="仿宋_GB2312" w:hAnsi="仿宋_GB2312" w:eastAsia="仿宋_GB2312" w:cs="仿宋_GB2312"/>
              <w:sz w:val="24"/>
              <w:szCs w:val="24"/>
            </w:rPr>
            <w:tab/>
          </w:r>
          <w:bookmarkStart w:id="55" w:name="_Toc985087064_WPSOffice_Level2Page"/>
          <w:r>
            <w:rPr>
              <w:rFonts w:hint="eastAsia" w:ascii="仿宋_GB2312" w:hAnsi="仿宋_GB2312" w:eastAsia="仿宋_GB2312" w:cs="仿宋_GB2312"/>
              <w:sz w:val="24"/>
              <w:szCs w:val="24"/>
            </w:rPr>
            <w:t>44</w:t>
          </w:r>
          <w:bookmarkEnd w:id="55"/>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_Toc1452439321_WPSOffice_Level2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3c79d6d0-0ebf-4721-ae39-80ad78c708d0}"/>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（十）防汛抗旱水利提升工程</w:t>
              </w:r>
            </w:sdtContent>
          </w:sdt>
          <w:r>
            <w:rPr>
              <w:rFonts w:hint="eastAsia" w:ascii="仿宋_GB2312" w:hAnsi="仿宋_GB2312" w:eastAsia="仿宋_GB2312" w:cs="仿宋_GB2312"/>
              <w:sz w:val="24"/>
              <w:szCs w:val="24"/>
            </w:rPr>
            <w:tab/>
          </w:r>
          <w:bookmarkStart w:id="56" w:name="_Toc1452439321_WPSOffice_Level2Page"/>
          <w:r>
            <w:rPr>
              <w:rFonts w:hint="eastAsia" w:ascii="仿宋_GB2312" w:hAnsi="仿宋_GB2312" w:eastAsia="仿宋_GB2312" w:cs="仿宋_GB2312"/>
              <w:sz w:val="24"/>
              <w:szCs w:val="24"/>
            </w:rPr>
            <w:t>44</w:t>
          </w:r>
          <w:bookmarkEnd w:id="56"/>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_Toc259474858_WPSOffice_Level2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5da0d561-33dc-4434-bee4-fbcf54b9051a}"/>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（十一）应急物资储备库及场所建设项目</w:t>
              </w:r>
            </w:sdtContent>
          </w:sdt>
          <w:r>
            <w:rPr>
              <w:rFonts w:hint="eastAsia" w:ascii="仿宋_GB2312" w:hAnsi="仿宋_GB2312" w:eastAsia="仿宋_GB2312" w:cs="仿宋_GB2312"/>
              <w:sz w:val="24"/>
              <w:szCs w:val="24"/>
            </w:rPr>
            <w:tab/>
          </w:r>
          <w:bookmarkStart w:id="57" w:name="_Toc259474858_WPSOffice_Level2Page"/>
          <w:r>
            <w:rPr>
              <w:rFonts w:hint="eastAsia" w:ascii="仿宋_GB2312" w:hAnsi="仿宋_GB2312" w:eastAsia="仿宋_GB2312" w:cs="仿宋_GB2312"/>
              <w:sz w:val="24"/>
              <w:szCs w:val="24"/>
            </w:rPr>
            <w:t>45</w:t>
          </w:r>
          <w:bookmarkEnd w:id="57"/>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_Toc923849203_WPSOffice_Level2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78de0dc2-35ff-477a-9207-c362bc24c69b}"/>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（十二）基层防灾减灾能力提升工程</w:t>
              </w:r>
            </w:sdtContent>
          </w:sdt>
          <w:r>
            <w:rPr>
              <w:rFonts w:hint="eastAsia" w:ascii="仿宋_GB2312" w:hAnsi="仿宋_GB2312" w:eastAsia="仿宋_GB2312" w:cs="仿宋_GB2312"/>
              <w:sz w:val="24"/>
              <w:szCs w:val="24"/>
            </w:rPr>
            <w:tab/>
          </w:r>
          <w:bookmarkStart w:id="58" w:name="_Toc923849203_WPSOffice_Level2Page"/>
          <w:r>
            <w:rPr>
              <w:rFonts w:hint="eastAsia" w:ascii="仿宋_GB2312" w:hAnsi="仿宋_GB2312" w:eastAsia="仿宋_GB2312" w:cs="仿宋_GB2312"/>
              <w:sz w:val="24"/>
              <w:szCs w:val="24"/>
            </w:rPr>
            <w:t>45</w:t>
          </w:r>
          <w:bookmarkEnd w:id="58"/>
          <w:r>
            <w:rPr>
              <w:rFonts w:hint="eastAsia" w:ascii="仿宋_GB2312" w:hAnsi="仿宋_GB2312" w:eastAsia="仿宋_GB2312" w:cs="仿宋_GB2312"/>
              <w:sz w:val="24"/>
              <w:szCs w:val="24"/>
            </w:rPr>
            <w:fldChar w:fldCharType="end"/>
          </w:r>
        </w:p>
        <w:p>
          <w:pPr>
            <w:pStyle w:val="2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_Toc992054018_WPSOffice_Level1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2be76ae5-26c8-4f50-9384-3c41ea68937e}"/>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第十一章 保障措施</w:t>
              </w:r>
            </w:sdtContent>
          </w:sdt>
          <w:r>
            <w:rPr>
              <w:rFonts w:hint="eastAsia" w:ascii="仿宋_GB2312" w:hAnsi="仿宋_GB2312" w:eastAsia="仿宋_GB2312" w:cs="仿宋_GB2312"/>
              <w:sz w:val="24"/>
              <w:szCs w:val="24"/>
            </w:rPr>
            <w:tab/>
          </w:r>
          <w:bookmarkStart w:id="59" w:name="_Toc992054018_WPSOffice_Level1Page"/>
          <w:r>
            <w:rPr>
              <w:rFonts w:hint="eastAsia" w:ascii="仿宋_GB2312" w:hAnsi="仿宋_GB2312" w:eastAsia="仿宋_GB2312" w:cs="仿宋_GB2312"/>
              <w:sz w:val="24"/>
              <w:szCs w:val="24"/>
            </w:rPr>
            <w:t>47</w:t>
          </w:r>
          <w:bookmarkEnd w:id="59"/>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_Toc1805588438_WPSOffice_Level2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c8983511-ad9f-44d1-8e65-5312228b4ec3}"/>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（一）加强组织领导</w:t>
              </w:r>
            </w:sdtContent>
          </w:sdt>
          <w:r>
            <w:rPr>
              <w:rFonts w:hint="eastAsia" w:ascii="仿宋_GB2312" w:hAnsi="仿宋_GB2312" w:eastAsia="仿宋_GB2312" w:cs="仿宋_GB2312"/>
              <w:sz w:val="24"/>
              <w:szCs w:val="24"/>
            </w:rPr>
            <w:tab/>
          </w:r>
          <w:bookmarkStart w:id="60" w:name="_Toc1805588438_WPSOffice_Level2Page"/>
          <w:r>
            <w:rPr>
              <w:rFonts w:hint="eastAsia" w:ascii="仿宋_GB2312" w:hAnsi="仿宋_GB2312" w:eastAsia="仿宋_GB2312" w:cs="仿宋_GB2312"/>
              <w:sz w:val="24"/>
              <w:szCs w:val="24"/>
            </w:rPr>
            <w:t>47</w:t>
          </w:r>
          <w:bookmarkEnd w:id="60"/>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_Toc244617639_WPSOffice_Level2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5f212e4d-385c-4fef-adf4-604961107c3e}"/>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（二）强化贯彻实施</w:t>
              </w:r>
            </w:sdtContent>
          </w:sdt>
          <w:r>
            <w:rPr>
              <w:rFonts w:hint="eastAsia" w:ascii="仿宋_GB2312" w:hAnsi="仿宋_GB2312" w:eastAsia="仿宋_GB2312" w:cs="仿宋_GB2312"/>
              <w:sz w:val="24"/>
              <w:szCs w:val="24"/>
            </w:rPr>
            <w:tab/>
          </w:r>
          <w:bookmarkStart w:id="61" w:name="_Toc244617639_WPSOffice_Level2Page"/>
          <w:r>
            <w:rPr>
              <w:rFonts w:hint="eastAsia" w:ascii="仿宋_GB2312" w:hAnsi="仿宋_GB2312" w:eastAsia="仿宋_GB2312" w:cs="仿宋_GB2312"/>
              <w:sz w:val="24"/>
              <w:szCs w:val="24"/>
            </w:rPr>
            <w:t>47</w:t>
          </w:r>
          <w:bookmarkEnd w:id="61"/>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_Toc141784256_WPSOffice_Level2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da17abdd-593a-49c9-ae13-b1ea8e6196cc}"/>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（三）加强资金保障</w:t>
              </w:r>
            </w:sdtContent>
          </w:sdt>
          <w:r>
            <w:rPr>
              <w:rFonts w:hint="eastAsia" w:ascii="仿宋_GB2312" w:hAnsi="仿宋_GB2312" w:eastAsia="仿宋_GB2312" w:cs="仿宋_GB2312"/>
              <w:sz w:val="24"/>
              <w:szCs w:val="24"/>
            </w:rPr>
            <w:tab/>
          </w:r>
          <w:bookmarkStart w:id="62" w:name="_Toc141784256_WPSOffice_Level2Page"/>
          <w:r>
            <w:rPr>
              <w:rFonts w:hint="eastAsia" w:ascii="仿宋_GB2312" w:hAnsi="仿宋_GB2312" w:eastAsia="仿宋_GB2312" w:cs="仿宋_GB2312"/>
              <w:sz w:val="24"/>
              <w:szCs w:val="24"/>
            </w:rPr>
            <w:t>47</w:t>
          </w:r>
          <w:bookmarkEnd w:id="62"/>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_Toc1360416954_WPSOffice_Level2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9bf5901b-63c9-419a-bcc4-2cf9f1349e46}"/>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（四）强化人才支撑</w:t>
              </w:r>
            </w:sdtContent>
          </w:sdt>
          <w:r>
            <w:rPr>
              <w:rFonts w:hint="eastAsia" w:ascii="仿宋_GB2312" w:hAnsi="仿宋_GB2312" w:eastAsia="仿宋_GB2312" w:cs="仿宋_GB2312"/>
              <w:sz w:val="24"/>
              <w:szCs w:val="24"/>
            </w:rPr>
            <w:tab/>
          </w:r>
          <w:bookmarkStart w:id="63" w:name="_Toc1360416954_WPSOffice_Level2Page"/>
          <w:r>
            <w:rPr>
              <w:rFonts w:hint="eastAsia" w:ascii="仿宋_GB2312" w:hAnsi="仿宋_GB2312" w:eastAsia="仿宋_GB2312" w:cs="仿宋_GB2312"/>
              <w:sz w:val="24"/>
              <w:szCs w:val="24"/>
            </w:rPr>
            <w:t>47</w:t>
          </w:r>
          <w:bookmarkEnd w:id="63"/>
          <w:r>
            <w:rPr>
              <w:rFonts w:hint="eastAsia" w:ascii="仿宋_GB2312" w:hAnsi="仿宋_GB2312" w:eastAsia="仿宋_GB2312" w:cs="仿宋_GB2312"/>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_Toc320005847_WPSOffice_Level2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sz w:val="24"/>
                <w:szCs w:val="24"/>
                <w:lang w:val="en-US" w:eastAsia="zh-CN" w:bidi="ar-SA"/>
              </w:rPr>
              <w:id w:val="270272248"/>
              <w:placeholder>
                <w:docPart w:val="{5bccffe5-179e-4198-94db-037c4b02c0b6}"/>
              </w:placeholder>
            </w:sdtPr>
            <w:sdtEndPr>
              <w:rPr>
                <w:rFonts w:hint="eastAsia" w:ascii="仿宋_GB2312" w:hAnsi="仿宋_GB2312" w:eastAsia="仿宋_GB2312" w:cs="仿宋_GB2312"/>
                <w:sz w:val="24"/>
                <w:szCs w:val="24"/>
                <w:lang w:val="en-US" w:eastAsia="zh-CN" w:bidi="ar-SA"/>
              </w:rPr>
            </w:sdtEndPr>
            <w:sdtContent>
              <w:r>
                <w:rPr>
                  <w:rFonts w:hint="eastAsia" w:ascii="仿宋_GB2312" w:hAnsi="仿宋_GB2312" w:eastAsia="仿宋_GB2312" w:cs="仿宋_GB2312"/>
                  <w:sz w:val="24"/>
                  <w:szCs w:val="24"/>
                </w:rPr>
                <w:t>（五）强化考核评估</w:t>
              </w:r>
            </w:sdtContent>
          </w:sdt>
          <w:r>
            <w:rPr>
              <w:rFonts w:hint="eastAsia" w:ascii="仿宋_GB2312" w:hAnsi="仿宋_GB2312" w:eastAsia="仿宋_GB2312" w:cs="仿宋_GB2312"/>
              <w:sz w:val="24"/>
              <w:szCs w:val="24"/>
            </w:rPr>
            <w:tab/>
          </w:r>
          <w:bookmarkStart w:id="64" w:name="_Toc320005847_WPSOffice_Level2Page"/>
          <w:r>
            <w:rPr>
              <w:rFonts w:hint="eastAsia" w:ascii="仿宋_GB2312" w:hAnsi="仿宋_GB2312" w:eastAsia="仿宋_GB2312" w:cs="仿宋_GB2312"/>
              <w:sz w:val="24"/>
              <w:szCs w:val="24"/>
            </w:rPr>
            <w:t>48</w:t>
          </w:r>
          <w:bookmarkEnd w:id="64"/>
          <w:r>
            <w:rPr>
              <w:rFonts w:hint="eastAsia" w:ascii="仿宋_GB2312" w:hAnsi="仿宋_GB2312" w:eastAsia="仿宋_GB2312" w:cs="仿宋_GB2312"/>
              <w:sz w:val="24"/>
              <w:szCs w:val="24"/>
            </w:rPr>
            <w:fldChar w:fldCharType="end"/>
          </w:r>
          <w:bookmarkEnd w:id="0"/>
        </w:p>
      </w:sdtContent>
    </w:sdt>
    <w:p>
      <w:pPr>
        <w:pStyle w:val="26"/>
        <w:tabs>
          <w:tab w:val="right" w:leader="dot" w:pos="8306"/>
        </w:tabs>
      </w:pPr>
    </w:p>
    <w:p>
      <w:pPr>
        <w:jc w:val="both"/>
        <w:rPr>
          <w:lang w:val="en-US" w:eastAsia="zh-CN"/>
        </w:rPr>
        <w:sectPr>
          <w:footerReference r:id="rId4" w:type="default"/>
          <w:pgSz w:w="11906" w:h="16838"/>
          <w:pgMar w:top="1440" w:right="1800" w:bottom="1440" w:left="1800" w:header="851" w:footer="992" w:gutter="0"/>
          <w:pgNumType w:start="1"/>
          <w:cols w:space="425" w:num="1"/>
          <w:docGrid w:type="lines" w:linePitch="312" w:charSpace="0"/>
        </w:sectPr>
      </w:pPr>
    </w:p>
    <w:p>
      <w:pPr>
        <w:spacing w:before="156" w:beforeLines="50" w:after="156" w:afterLines="50" w:line="360" w:lineRule="auto"/>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为贯彻落实党中央、国务院和</w:t>
      </w:r>
      <w:r>
        <w:rPr>
          <w:rFonts w:hint="eastAsia" w:ascii="仿宋_GB2312" w:hAnsi="Times New Roman" w:eastAsia="仿宋_GB2312"/>
          <w:color w:val="000000" w:themeColor="text1"/>
          <w:sz w:val="32"/>
          <w:szCs w:val="32"/>
          <w:lang w:eastAsia="zh-CN"/>
          <w14:textFill>
            <w14:solidFill>
              <w14:schemeClr w14:val="tx1"/>
            </w14:solidFill>
          </w14:textFill>
        </w:rPr>
        <w:t>内蒙古自治区</w:t>
      </w:r>
      <w:r>
        <w:rPr>
          <w:rFonts w:hint="eastAsia" w:ascii="仿宋_GB2312" w:hAnsi="Times New Roman" w:eastAsia="仿宋_GB2312"/>
          <w:color w:val="000000" w:themeColor="text1"/>
          <w:sz w:val="32"/>
          <w:szCs w:val="32"/>
          <w14:textFill>
            <w14:solidFill>
              <w14:schemeClr w14:val="tx1"/>
            </w14:solidFill>
          </w14:textFill>
        </w:rPr>
        <w:t>党委、政府</w:t>
      </w:r>
      <w:r>
        <w:rPr>
          <w:rFonts w:hint="eastAsia" w:ascii="仿宋_GB2312" w:hAnsi="Times New Roman" w:eastAsia="仿宋_GB2312"/>
          <w:color w:val="000000" w:themeColor="text1"/>
          <w:sz w:val="32"/>
          <w:szCs w:val="32"/>
          <w:lang w:eastAsia="zh-CN"/>
          <w14:textFill>
            <w14:solidFill>
              <w14:schemeClr w14:val="tx1"/>
            </w14:solidFill>
          </w14:textFill>
        </w:rPr>
        <w:t>、乌海市委、市政府</w:t>
      </w:r>
      <w:r>
        <w:rPr>
          <w:rFonts w:hint="eastAsia" w:ascii="仿宋_GB2312" w:hAnsi="Times New Roman" w:eastAsia="仿宋_GB2312"/>
          <w:color w:val="000000" w:themeColor="text1"/>
          <w:sz w:val="32"/>
          <w:szCs w:val="32"/>
          <w14:textFill>
            <w14:solidFill>
              <w14:schemeClr w14:val="tx1"/>
            </w14:solidFill>
          </w14:textFill>
        </w:rPr>
        <w:t>关于</w:t>
      </w:r>
      <w:r>
        <w:rPr>
          <w:rFonts w:hint="eastAsia" w:ascii="仿宋_GB2312" w:hAnsi="Times New Roman" w:eastAsia="仿宋_GB2312"/>
          <w:color w:val="000000" w:themeColor="text1"/>
          <w:sz w:val="32"/>
          <w:szCs w:val="32"/>
          <w:lang w:val="en-US" w:eastAsia="zh-CN"/>
          <w14:textFill>
            <w14:solidFill>
              <w14:schemeClr w14:val="tx1"/>
            </w14:solidFill>
          </w14:textFill>
        </w:rPr>
        <w:t>加强</w:t>
      </w:r>
      <w:r>
        <w:rPr>
          <w:rFonts w:hint="eastAsia" w:ascii="仿宋_GB2312" w:hAnsi="Times New Roman" w:eastAsia="仿宋_GB2312"/>
          <w:color w:val="000000" w:themeColor="text1"/>
          <w:sz w:val="32"/>
          <w:szCs w:val="32"/>
          <w14:textFill>
            <w14:solidFill>
              <w14:schemeClr w14:val="tx1"/>
            </w14:solidFill>
          </w14:textFill>
        </w:rPr>
        <w:t>安全生产</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综合防灾减灾救灾</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应急体系建设工作的决策部署和要求，以推进</w:t>
      </w:r>
      <w:r>
        <w:rPr>
          <w:rFonts w:hint="eastAsia" w:ascii="仿宋_GB2312" w:hAnsi="Times New Roman" w:eastAsia="仿宋_GB2312"/>
          <w:color w:val="000000" w:themeColor="text1"/>
          <w:sz w:val="32"/>
          <w:szCs w:val="32"/>
          <w:lang w:val="en-US" w:eastAsia="zh-CN"/>
          <w14:textFill>
            <w14:solidFill>
              <w14:schemeClr w14:val="tx1"/>
            </w14:solidFill>
          </w14:textFill>
        </w:rPr>
        <w:t>乌海市（以下简称“我市”或“全市”）</w:t>
      </w:r>
      <w:r>
        <w:rPr>
          <w:rFonts w:hint="eastAsia" w:ascii="仿宋_GB2312" w:hAnsi="Times New Roman" w:eastAsia="仿宋_GB2312"/>
          <w:color w:val="000000" w:themeColor="text1"/>
          <w:sz w:val="32"/>
          <w:szCs w:val="32"/>
          <w14:textFill>
            <w14:solidFill>
              <w14:schemeClr w14:val="tx1"/>
            </w14:solidFill>
          </w14:textFill>
        </w:rPr>
        <w:t>安全发展为目标，以推动改革创新为动力，以提升应急管理能力为主线，以狠抓安全生产责任落实为着力点，建立完善应急管理体系，统筹加强自然灾害防治，全力防范化解重大安全风险，着力提升应急管理和防灾减灾救灾能力，守牢安全生产底线，坚决防范遏制重特大安全事故，为全面开创</w:t>
      </w:r>
      <w:r>
        <w:rPr>
          <w:rFonts w:hint="eastAsia" w:ascii="仿宋_GB2312" w:hAnsi="Times New Roman" w:eastAsia="仿宋_GB2312"/>
          <w:color w:val="000000" w:themeColor="text1"/>
          <w:sz w:val="32"/>
          <w:szCs w:val="32"/>
          <w:lang w:val="en-US" w:eastAsia="zh-CN"/>
          <w14:textFill>
            <w14:solidFill>
              <w14:schemeClr w14:val="tx1"/>
            </w14:solidFill>
          </w14:textFill>
        </w:rPr>
        <w:t>我市</w:t>
      </w:r>
      <w:r>
        <w:rPr>
          <w:rFonts w:hint="eastAsia" w:ascii="仿宋_GB2312" w:hAnsi="Times New Roman" w:eastAsia="仿宋_GB2312"/>
          <w:color w:val="000000" w:themeColor="text1"/>
          <w:sz w:val="32"/>
          <w:szCs w:val="32"/>
          <w14:textFill>
            <w14:solidFill>
              <w14:schemeClr w14:val="tx1"/>
            </w14:solidFill>
          </w14:textFill>
        </w:rPr>
        <w:t>高质量发展高品质生活提供坚实的安全保障。根据《中华人民共和国安全生产法》《中华人民共和国突发事件应对法》《中共中央国务院关于推进防灾减灾救灾体制机制改革的意见》《“十四五”国家安全生产规划》《“十四五”国家应急体系规划》《国家综合防灾减灾规划（2021-2025年）》《</w:t>
      </w:r>
      <w:r>
        <w:rPr>
          <w:rFonts w:hint="eastAsia" w:ascii="仿宋_GB2312" w:hAnsi="Times New Roman" w:eastAsia="仿宋_GB2312"/>
          <w:color w:val="000000" w:themeColor="text1"/>
          <w:sz w:val="32"/>
          <w:szCs w:val="32"/>
          <w:lang w:val="en-US" w:eastAsia="zh-CN"/>
          <w14:textFill>
            <w14:solidFill>
              <w14:schemeClr w14:val="tx1"/>
            </w14:solidFill>
          </w14:textFill>
        </w:rPr>
        <w:t>内蒙古自治区</w:t>
      </w:r>
      <w:r>
        <w:rPr>
          <w:rFonts w:hint="eastAsia" w:ascii="仿宋_GB2312" w:hAnsi="Times New Roman" w:eastAsia="仿宋_GB2312"/>
          <w:color w:val="000000" w:themeColor="text1"/>
          <w:sz w:val="32"/>
          <w:szCs w:val="32"/>
          <w14:textFill>
            <w14:solidFill>
              <w14:schemeClr w14:val="tx1"/>
            </w14:solidFill>
          </w14:textFill>
        </w:rPr>
        <w:t>“十四五”</w:t>
      </w:r>
      <w:r>
        <w:rPr>
          <w:rFonts w:hint="eastAsia" w:ascii="仿宋_GB2312" w:hAnsi="Times New Roman" w:eastAsia="仿宋_GB2312"/>
          <w:color w:val="000000" w:themeColor="text1"/>
          <w:sz w:val="32"/>
          <w:szCs w:val="32"/>
          <w:lang w:val="en-US" w:eastAsia="zh-CN"/>
          <w14:textFill>
            <w14:solidFill>
              <w14:schemeClr w14:val="tx1"/>
            </w14:solidFill>
          </w14:textFill>
        </w:rPr>
        <w:t>应急体系建设</w:t>
      </w:r>
      <w:r>
        <w:rPr>
          <w:rFonts w:hint="eastAsia" w:ascii="仿宋_GB2312" w:hAnsi="Times New Roman" w:eastAsia="仿宋_GB2312"/>
          <w:color w:val="000000" w:themeColor="text1"/>
          <w:sz w:val="32"/>
          <w:szCs w:val="32"/>
          <w14:textFill>
            <w14:solidFill>
              <w14:schemeClr w14:val="tx1"/>
            </w14:solidFill>
          </w14:textFill>
        </w:rPr>
        <w:t>规划》《</w:t>
      </w:r>
      <w:r>
        <w:rPr>
          <w:rFonts w:hint="eastAsia" w:ascii="仿宋_GB2312" w:hAnsi="Times New Roman" w:eastAsia="仿宋_GB2312"/>
          <w:color w:val="000000" w:themeColor="text1"/>
          <w:sz w:val="32"/>
          <w:szCs w:val="32"/>
          <w:lang w:eastAsia="zh-CN"/>
          <w14:textFill>
            <w14:solidFill>
              <w14:schemeClr w14:val="tx1"/>
            </w14:solidFill>
          </w14:textFill>
        </w:rPr>
        <w:t>内蒙古自治区</w:t>
      </w:r>
      <w:r>
        <w:rPr>
          <w:rFonts w:hint="eastAsia" w:ascii="仿宋_GB2312" w:hAnsi="Times New Roman" w:eastAsia="仿宋_GB2312"/>
          <w:color w:val="000000" w:themeColor="text1"/>
          <w:sz w:val="32"/>
          <w:szCs w:val="32"/>
          <w14:textFill>
            <w14:solidFill>
              <w14:schemeClr w14:val="tx1"/>
            </w14:solidFill>
          </w14:textFill>
        </w:rPr>
        <w:t>国民经济和社会发展第十四个五年规划和2035年远景目标纲要》等法规文件编制本规划。</w:t>
      </w:r>
    </w:p>
    <w:p>
      <w:pPr>
        <w:pStyle w:val="2"/>
        <w:keepNext w:val="0"/>
        <w:keepLines w:val="0"/>
        <w:pageBreakBefore w:val="0"/>
        <w:widowControl w:val="0"/>
        <w:numPr>
          <w:ilvl w:val="0"/>
          <w:numId w:val="1"/>
        </w:numPr>
        <w:tabs>
          <w:tab w:val="left" w:pos="1279"/>
        </w:tabs>
        <w:kinsoku/>
        <w:wordWrap/>
        <w:overflowPunct/>
        <w:topLinePunct w:val="0"/>
        <w:autoSpaceDE w:val="0"/>
        <w:autoSpaceDN w:val="0"/>
        <w:bidi w:val="0"/>
        <w:adjustRightInd/>
        <w:snapToGrid/>
        <w:spacing w:before="0" w:after="0" w:line="360" w:lineRule="auto"/>
        <w:ind w:left="0" w:right="140"/>
        <w:jc w:val="center"/>
        <w:textAlignment w:val="auto"/>
        <w:outlineLvl w:val="0"/>
        <w:rPr>
          <w:rFonts w:hint="eastAsia" w:ascii="黑体" w:hAnsi="宋体" w:eastAsia="黑体" w:cs="宋体"/>
          <w:b/>
          <w:bCs/>
          <w:kern w:val="0"/>
          <w:sz w:val="32"/>
          <w:szCs w:val="32"/>
          <w:lang w:val="zh-CN" w:bidi="zh-CN"/>
        </w:rPr>
      </w:pPr>
      <w:bookmarkStart w:id="65" w:name="_Toc476288861_WPSOffice_Level1"/>
      <w:bookmarkStart w:id="66" w:name="_Toc6693"/>
      <w:bookmarkStart w:id="67" w:name="_Toc1182506082_WPSOffice_Level1"/>
      <w:bookmarkStart w:id="68" w:name="_Toc8757"/>
      <w:r>
        <w:rPr>
          <w:rFonts w:hint="eastAsia" w:ascii="黑体" w:hAnsi="宋体" w:eastAsia="黑体" w:cs="宋体"/>
          <w:b/>
          <w:bCs/>
          <w:kern w:val="0"/>
          <w:sz w:val="32"/>
          <w:szCs w:val="32"/>
          <w:lang w:val="zh-CN" w:bidi="zh-CN"/>
        </w:rPr>
        <w:t>形势分析</w:t>
      </w:r>
      <w:bookmarkEnd w:id="65"/>
      <w:bookmarkEnd w:id="66"/>
      <w:bookmarkEnd w:id="67"/>
    </w:p>
    <w:p>
      <w:pPr>
        <w:pStyle w:val="4"/>
        <w:keepNext w:val="0"/>
        <w:keepLines w:val="0"/>
        <w:pageBreakBefore w:val="0"/>
        <w:widowControl w:val="0"/>
        <w:kinsoku/>
        <w:wordWrap/>
        <w:overflowPunct/>
        <w:topLinePunct w:val="0"/>
        <w:autoSpaceDE/>
        <w:autoSpaceDN/>
        <w:bidi w:val="0"/>
        <w:adjustRightInd/>
        <w:snapToGrid/>
        <w:spacing w:before="1" w:line="360" w:lineRule="auto"/>
        <w:ind w:left="0" w:leftChars="0" w:firstLine="642" w:firstLineChars="200"/>
        <w:textAlignment w:val="auto"/>
        <w:outlineLvl w:val="1"/>
      </w:pPr>
      <w:bookmarkStart w:id="69" w:name="_Toc530992374_WPSOffice_Level2"/>
      <w:bookmarkStart w:id="70" w:name="_Toc564"/>
      <w:bookmarkStart w:id="71" w:name="_Toc1280320884_WPSOffice_Level2"/>
      <w:r>
        <w:t>（一）“十三五”建设成效</w:t>
      </w:r>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before="43" w:line="360" w:lineRule="auto"/>
        <w:ind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十三五”期间，乌海市委、市政府高度重视应急工作，全市各级各部门认真贯彻落实习近平总书记关于安全生产、防灾减灾救灾和应急救援等应急管理工作重要指示精神，深入落实党中央国务院决策部署，深入贯彻实施</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内蒙古自治区</w:t>
      </w:r>
      <w:r>
        <w:rPr>
          <w:rFonts w:hint="eastAsia" w:ascii="仿宋_GB2312" w:hAnsi="Times New Roman" w:eastAsia="仿宋_GB2312"/>
          <w:color w:val="000000" w:themeColor="text1"/>
          <w:sz w:val="32"/>
          <w:szCs w:val="32"/>
          <w14:textFill>
            <w14:solidFill>
              <w14:schemeClr w14:val="tx1"/>
            </w14:solidFill>
          </w14:textFill>
        </w:rPr>
        <w:t>“十四五”</w:t>
      </w:r>
      <w:r>
        <w:rPr>
          <w:rFonts w:hint="eastAsia" w:ascii="仿宋_GB2312" w:hAnsi="Times New Roman" w:eastAsia="仿宋_GB2312"/>
          <w:color w:val="000000" w:themeColor="text1"/>
          <w:sz w:val="32"/>
          <w:szCs w:val="32"/>
          <w:lang w:val="en-US" w:eastAsia="zh-CN"/>
          <w14:textFill>
            <w14:solidFill>
              <w14:schemeClr w14:val="tx1"/>
            </w14:solidFill>
          </w14:textFill>
        </w:rPr>
        <w:t>应急体系建设</w:t>
      </w:r>
      <w:r>
        <w:rPr>
          <w:rFonts w:hint="eastAsia" w:ascii="仿宋_GB2312" w:hAnsi="Times New Roman" w:eastAsia="仿宋_GB2312"/>
          <w:color w:val="000000" w:themeColor="text1"/>
          <w:sz w:val="32"/>
          <w:szCs w:val="32"/>
          <w14:textFill>
            <w14:solidFill>
              <w14:schemeClr w14:val="tx1"/>
            </w14:solidFill>
          </w14:textFill>
        </w:rPr>
        <w:t>规划》</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坚持目标和问题导向，着力补短板、强核心、促协同，全市应急体系建设取得了重要进展，应急管理能力不断加强，应急管理工作沿着法治化、规范化、精细化、信息化方向有序发展，为我市经济社会健康发展提供了坚实的安全保障。</w:t>
      </w:r>
    </w:p>
    <w:p>
      <w:pPr>
        <w:pStyle w:val="2"/>
        <w:keepNext w:val="0"/>
        <w:keepLines w:val="0"/>
        <w:pageBreakBefore w:val="0"/>
        <w:widowControl w:val="0"/>
        <w:kinsoku/>
        <w:wordWrap/>
        <w:overflowPunct/>
        <w:topLinePunct w:val="0"/>
        <w:autoSpaceDE/>
        <w:autoSpaceDN/>
        <w:bidi w:val="0"/>
        <w:adjustRightInd/>
        <w:snapToGrid/>
        <w:spacing w:before="43"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应急管理体系更趋完善。</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乌海市委、市政府持续深化应急管理改革发展，着力构建统一领导、权责一致、权威高效的应急管理体系。应急管理体系实现从“条块化、碎片化”向“系统化、协同化”转变，应急救援体系正在逐步完善，已成立安全生产委员会、</w:t>
      </w:r>
      <w:r>
        <w:rPr>
          <w:rFonts w:hint="eastAsia" w:ascii="仿宋_GB2312" w:hAnsi="Times New Roman" w:eastAsia="仿宋_GB2312" w:cs="Times New Roman"/>
          <w:color w:val="000000"/>
          <w:kern w:val="2"/>
          <w:sz w:val="32"/>
          <w:szCs w:val="32"/>
          <w:lang w:val="en-US" w:eastAsia="zh-CN" w:bidi="ar-SA"/>
        </w:rPr>
        <w:t>防汛抗旱指挥部、减灾委员会、森林防火指挥部、</w:t>
      </w:r>
      <w:r>
        <w:rPr>
          <w:rFonts w:hint="eastAsia" w:ascii="仿宋_GB2312" w:hAnsi="Times New Roman" w:eastAsia="仿宋_GB2312" w:cs="Times New Roman"/>
          <w:color w:val="auto"/>
          <w:kern w:val="2"/>
          <w:sz w:val="32"/>
          <w:szCs w:val="32"/>
          <w:lang w:val="en-US" w:eastAsia="zh-CN" w:bidi="ar-SA"/>
        </w:rPr>
        <w:t>防震减灾领导工作小组（抗震救灾指挥部）</w:t>
      </w:r>
      <w:r>
        <w:rPr>
          <w:rFonts w:hint="eastAsia" w:ascii="仿宋_GB2312" w:hAnsi="Times New Roman" w:eastAsia="仿宋_GB2312" w:cs="Times New Roman"/>
          <w:color w:val="000000"/>
          <w:kern w:val="2"/>
          <w:sz w:val="32"/>
          <w:szCs w:val="32"/>
          <w:lang w:val="en-US" w:eastAsia="zh-CN" w:bidi="ar-SA"/>
        </w:rPr>
        <w:t>等议事机构。</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指导各区生产安全事故应急预案修订工作，督促相关部门加快修订行业应急预案，持续完善应急预案体系。</w:t>
      </w:r>
      <w:r>
        <w:rPr>
          <w:rFonts w:hint="eastAsia" w:ascii="仿宋_GB2312" w:hAnsi="Times New Roman" w:eastAsia="仿宋_GB2312" w:cstheme="minorBidi"/>
          <w:color w:val="auto"/>
          <w:kern w:val="2"/>
          <w:sz w:val="32"/>
          <w:szCs w:val="32"/>
          <w:lang w:val="en-US" w:eastAsia="zh-CN" w:bidi="ar-SA"/>
        </w:rPr>
        <w:t>出台</w:t>
      </w:r>
      <w:r>
        <w:rPr>
          <w:rFonts w:hint="eastAsia" w:ascii="仿宋_GB2312" w:hAnsi="Times New Roman" w:eastAsia="仿宋_GB2312" w:cs="Times New Roman"/>
          <w:color w:val="auto"/>
          <w:kern w:val="2"/>
          <w:sz w:val="32"/>
          <w:szCs w:val="32"/>
          <w:lang w:val="en-US" w:eastAsia="zh-CN" w:bidi="ar-SA"/>
        </w:rPr>
        <w:t>《乌海市防汛抗旱应急预案》、</w:t>
      </w:r>
      <w:r>
        <w:rPr>
          <w:rFonts w:hint="eastAsia" w:ascii="仿宋_GB2312" w:hAnsi="Times New Roman" w:eastAsia="仿宋_GB2312" w:cstheme="minorBidi"/>
          <w:color w:val="auto"/>
          <w:kern w:val="2"/>
          <w:sz w:val="32"/>
          <w:szCs w:val="32"/>
          <w:lang w:val="en-US" w:eastAsia="zh-CN" w:bidi="ar-SA"/>
        </w:rPr>
        <w:t>《乌海市突发</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地质灾害应急预案》、《乌海市火灾事故应急预案》、《乌海市地震应急预案》、《乌海市自然灾害救助应急预案》，组织编制修订《乌海市生产安全事故应急预案》、《乌海市非煤矿山生产安全事故应急预案》、《乌海市危险化学品生产安全事故应急预案》、《乌海市冶金生产安全事故应急预案》。</w:t>
      </w:r>
    </w:p>
    <w:p>
      <w:pPr>
        <w:pStyle w:val="2"/>
        <w:keepNext w:val="0"/>
        <w:keepLines w:val="0"/>
        <w:pageBreakBefore w:val="0"/>
        <w:widowControl w:val="0"/>
        <w:kinsoku/>
        <w:wordWrap/>
        <w:overflowPunct/>
        <w:topLinePunct w:val="0"/>
        <w:autoSpaceDE/>
        <w:autoSpaceDN/>
        <w:bidi w:val="0"/>
        <w:adjustRightInd/>
        <w:snapToGrid/>
        <w:spacing w:before="43"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应急处置能力不断提升。</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全市初步建立以综合性消防救援队伍为主力、以专业救援队伍为协同、以军队和武警部队为突击、以社会力量为辅助的应急救援力量体系，应对重大自然灾害快速反应能力显著提高。灾情管理工作进一步夯实，建立完善了“市、区、镇（办事处）、村（社区）”四级灾情统计管理队伍，共计180余人，形成了自下而上衔接紧密、运行顺畅的层级联动机制。完成了全国应急信息员管理系统信息平台四级灾害信息员基本情况录入核对工作,全市现已建立了200人左右的灾害信息员队伍。救灾物资储备体系建设取得新发展。通过争取内蒙古自治区综合防灾减灾专项预算内投资项目以及改建、租用、借用库房等方式，不断扩大救灾物资储备库覆盖面，截至目前，全市共有救灾物资储备库4个，救灾物资储备点15个，形成了以市本级救灾物资储备库为中心，各区救灾物资储备库为支撑，辐射全市的救灾物资储备网络。完成了内蒙古自治区应急物资保障信息平台，市、区两级救灾物资储备库地理坐标信息和物资储备信息的收集及录入工作，为实现救灾物资的信息化、网格化管理提供了基础数据支撑。</w:t>
      </w:r>
    </w:p>
    <w:p>
      <w:pPr>
        <w:pStyle w:val="2"/>
        <w:keepNext w:val="0"/>
        <w:keepLines w:val="0"/>
        <w:pageBreakBefore w:val="0"/>
        <w:widowControl w:val="0"/>
        <w:kinsoku/>
        <w:wordWrap/>
        <w:overflowPunct/>
        <w:topLinePunct w:val="0"/>
        <w:autoSpaceDE/>
        <w:autoSpaceDN/>
        <w:bidi w:val="0"/>
        <w:adjustRightInd/>
        <w:snapToGrid/>
        <w:spacing w:before="43"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应急保障能力继续增强。</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制定了乌海市本级救灾物资储备管理暂行办法，进一步规范了全市应急救灾物资的调运、使用、回收等工作。持续推动应急物资政府实物储备数据信息化工作，建立“乌海市应急物资管理平台”，初步摸清救灾物资储备情况，查清储备物资品种、规模，掌握实际可用物资情况，实现重要应急物资储备集中录入系统，确保关键时刻拿得出、调得快、用得上。</w:t>
      </w:r>
    </w:p>
    <w:p>
      <w:pPr>
        <w:pStyle w:val="2"/>
        <w:keepNext w:val="0"/>
        <w:keepLines w:val="0"/>
        <w:pageBreakBefore w:val="0"/>
        <w:widowControl w:val="0"/>
        <w:kinsoku/>
        <w:wordWrap/>
        <w:overflowPunct/>
        <w:topLinePunct w:val="0"/>
        <w:autoSpaceDE/>
        <w:autoSpaceDN/>
        <w:bidi w:val="0"/>
        <w:adjustRightInd/>
        <w:snapToGrid/>
        <w:spacing w:before="43"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应急基础不断强化。</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持续推进乌海市“危险化学品安全生产风险监测预警系统”运行工作，综合应急监测与分析模型，对接上级部门加强监控与预警管理工作，结合应急值守工作，24小时展开重点生产企业的安全生产隐患动态、安全风险防御等大数据监控，及时排除风险隐患。通过“国家应急指挥综合业务系统平台”，不断强化应急决策和集中指挥、信息报送等工作机制及时向上级部门报送突发事件信息，确保我市安全生产持续稳定发展。精心组织开展“安全生产月”“全国防灾减灾日”等主题活动，持续推进安全宣传“七进”活动，全民防灾减灾意识不断提高。</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安全生产水平稳步提高。</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乌海市委、市政府始终坚持“党政同责、一岗双责、齐抓共管、失职追责”，把强化组织领导作为推动安全生产工作的重要保障，细化明确市、区党政领导干部安全生产责任，调整完善市、区安委会人员组成，实现市区两级政府安全生产工作全部由常务副职分管。建立了市委常委会、市政府常务会议、市安委会会议定期研究安全生产、市安委会联络员等制度。建立了市应急管理局普法责任清单，大力推进普法与执法有机融合，形成各科室齐抓共管的普法工作格局。持续加大安全专项整治和隐患排查治理力度，管控大风险，治理大隐患，防范大事故。推动了危险化学品安全综合治理，深化了非煤矿山采空区治理，推动工贸四行业涉氨制冷、有限空间作业、粉尘防爆企业隐患排查治理全覆盖；实施了交通安全整治系列行动，煤矿、消防、烟花爆竹、旅游、铁路、民航、油气长输管道、电力、民爆器材、特种设备等重点行业领域安全专项治理取得积极进展。</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防灾减灾能力得到加强。</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全面贯彻落实《深化党和国家机构改革方案》《中共中央国务院关于推进防灾减灾救灾体制机制改革的意见》等文件精神。坚持以人为本、以防为主、防抗救相结合、综合减灾的原则，初步完成建立统筹协调、分级负责、属地管理为主的自然灾害管理体制。明确以乌海市委、市政府为统一领导，市减灾委员会、森林草原防灭火指挥部、防汛抗旱指挥部和抗震救灾指挥部负责统一指挥、协调、部署全市自然灾害防治工作；根据灾害等级，明确市、区党委、政府在自然灾害防治工作中的主体责任。逐步建立健全灾害应急响应、灾情会商、专家咨询、信息共享、社会动员和市场参与等自然灾害防治机制。全市灾害监测预警站网建设得到加强，高新技术装备广泛应用，重大水利工程、气象水文基础设施、地质灾害隐患整治、应急避难场所、农村危房改造等工程建设大力推进，设防水平大幅提升。创建7个全国综合减灾示范社区，1个国家级地震安全示范社区，规划实施国家地震烈度速报与预警工程，建设观测站点9个，地震和地质灾害防治能力显著提升。森林草原防灭火综合能力得到了明显提升。通过内蒙古自治区和我市项目建设，各区先后进行了森林防火重点火险区综合治理项目、防灭火基础设施建设取得了长足发展。城乡社区防灾减灾救灾能力进一步提升。</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176"/>
        <w:ind w:left="0" w:leftChars="0" w:firstLine="642" w:firstLineChars="200"/>
        <w:textAlignment w:val="auto"/>
        <w:outlineLvl w:val="1"/>
      </w:pPr>
      <w:bookmarkStart w:id="72" w:name="_Toc231030841_WPSOffice_Level2"/>
      <w:bookmarkStart w:id="73" w:name="_Toc15843"/>
      <w:bookmarkStart w:id="74" w:name="_Toc779912099_WPSOffice_Level2"/>
      <w:r>
        <w:t>“十四五”面临的挑战</w:t>
      </w:r>
      <w:bookmarkEnd w:id="72"/>
      <w:bookmarkEnd w:id="73"/>
      <w:bookmarkEnd w:id="74"/>
    </w:p>
    <w:p>
      <w:pPr>
        <w:pStyle w:val="2"/>
        <w:keepNext w:val="0"/>
        <w:keepLines w:val="0"/>
        <w:pageBreakBefore w:val="0"/>
        <w:widowControl w:val="0"/>
        <w:kinsoku/>
        <w:wordWrap/>
        <w:overflowPunct/>
        <w:topLinePunct w:val="0"/>
        <w:autoSpaceDE/>
        <w:autoSpaceDN/>
        <w:bidi w:val="0"/>
        <w:adjustRightInd/>
        <w:snapToGrid/>
        <w:spacing w:before="170" w:line="360" w:lineRule="auto"/>
        <w:ind w:firstLine="66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“十四五”时期全市安全形势依然严峻、新风险新需求日益加大、应急基础依然薄弱，应急管理工作依然面临严峻挑战。</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安全形势依然严峻。</w:t>
      </w:r>
      <w:r>
        <w:rPr>
          <w:rFonts w:hint="eastAsia" w:ascii="仿宋" w:hAnsi="仿宋" w:eastAsia="仿宋"/>
          <w:sz w:val="32"/>
          <w:szCs w:val="32"/>
        </w:rPr>
        <w:t>我</w:t>
      </w:r>
      <w:r>
        <w:rPr>
          <w:rFonts w:hint="eastAsia" w:ascii="仿宋" w:hAnsi="仿宋" w:eastAsia="仿宋"/>
          <w:sz w:val="32"/>
          <w:szCs w:val="32"/>
          <w:lang w:eastAsia="zh-CN"/>
        </w:rPr>
        <w:t>市位于我国大陆南北地震带北段，地处内蒙古自治区西</w:t>
      </w:r>
      <w:r>
        <w:rPr>
          <w:rFonts w:ascii="仿宋" w:hAnsi="仿宋" w:eastAsia="仿宋"/>
          <w:sz w:val="32"/>
          <w:szCs w:val="32"/>
        </w:rPr>
        <w:t>部</w:t>
      </w:r>
      <w:r>
        <w:rPr>
          <w:rFonts w:hint="eastAsia" w:ascii="仿宋" w:hAnsi="仿宋" w:eastAsia="仿宋"/>
          <w:sz w:val="32"/>
          <w:szCs w:val="32"/>
          <w:lang w:eastAsia="zh-CN"/>
        </w:rPr>
        <w:t>地区</w:t>
      </w:r>
      <w:r>
        <w:rPr>
          <w:rFonts w:ascii="仿宋" w:hAnsi="仿宋" w:eastAsia="仿宋"/>
          <w:sz w:val="32"/>
          <w:szCs w:val="32"/>
        </w:rPr>
        <w:t>，</w:t>
      </w:r>
      <w:r>
        <w:rPr>
          <w:rFonts w:hint="eastAsia" w:ascii="仿宋" w:hAnsi="仿宋" w:eastAsia="仿宋"/>
          <w:sz w:val="32"/>
          <w:szCs w:val="32"/>
          <w:lang w:eastAsia="zh-CN"/>
        </w:rPr>
        <w:t>地震地质构造较为复杂，</w:t>
      </w:r>
      <w:r>
        <w:rPr>
          <w:rFonts w:hint="eastAsia" w:ascii="仿宋" w:hAnsi="仿宋" w:eastAsia="仿宋"/>
          <w:sz w:val="32"/>
          <w:szCs w:val="32"/>
        </w:rPr>
        <w:t>气候类型多样</w:t>
      </w:r>
      <w:r>
        <w:rPr>
          <w:rFonts w:hint="eastAsia" w:ascii="仿宋" w:hAnsi="仿宋" w:eastAsia="仿宋"/>
          <w:sz w:val="32"/>
          <w:szCs w:val="32"/>
          <w:lang w:eastAsia="zh-CN"/>
        </w:rPr>
        <w:t>。</w:t>
      </w:r>
      <w:r>
        <w:rPr>
          <w:rFonts w:hint="eastAsia" w:ascii="仿宋" w:hAnsi="仿宋" w:eastAsia="仿宋"/>
          <w:sz w:val="32"/>
          <w:szCs w:val="32"/>
        </w:rPr>
        <w:t>受此影响，我</w:t>
      </w:r>
      <w:r>
        <w:rPr>
          <w:rFonts w:hint="eastAsia" w:ascii="仿宋" w:hAnsi="仿宋" w:eastAsia="仿宋"/>
          <w:sz w:val="32"/>
          <w:szCs w:val="32"/>
          <w:lang w:eastAsia="zh-CN"/>
        </w:rPr>
        <w:t>市</w:t>
      </w:r>
      <w:r>
        <w:rPr>
          <w:rFonts w:hint="eastAsia" w:ascii="仿宋" w:hAnsi="仿宋" w:eastAsia="仿宋"/>
          <w:sz w:val="32"/>
          <w:szCs w:val="32"/>
        </w:rPr>
        <w:t>旱灾、洪涝、风雹、低温冷冻和雪灾、森林草原火灾、地震等自然灾害频繁发生、造成损失较大，救灾任务十分繁重。</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我市安全生产基础依然薄弱、抗风险能力较低；从业人员文化水平低，安全技能较低，管理水平不高，企业安全生产主体责任落实仍有不到位，事故隐患仍然较多；安全生产新兴风险不断涌现，事故成因复杂多样，复合型事故有所增多，产业结构中，二产所占比重大且多为传统的资源开采、加工产业，工矿企业多，加之近年为推进产业轻型升级，我市开始引进生产农药、医药、染料等化工企业，安全生产新、老产值的问题交织，全市安全生产仍处于爬坡过坎攻坚期，安全风险可控性仍需进一步加强；城镇化、工业化步伐加快推进，伴随而来的事故风险隐患随之增加，安全监管有效性有待进一步提高，安全生产的不确定性和复杂性仍然明显，全市安全生产面临的形势依然十分严峻。</w:t>
      </w:r>
    </w:p>
    <w:p>
      <w:pPr>
        <w:pStyle w:val="2"/>
        <w:keepNext w:val="0"/>
        <w:keepLines w:val="0"/>
        <w:pageBreakBefore w:val="0"/>
        <w:widowControl w:val="0"/>
        <w:kinsoku/>
        <w:wordWrap/>
        <w:overflowPunct/>
        <w:topLinePunct w:val="0"/>
        <w:autoSpaceDE/>
        <w:autoSpaceDN/>
        <w:bidi w:val="0"/>
        <w:spacing w:before="20" w:line="360" w:lineRule="auto"/>
        <w:ind w:firstLine="64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新风险新需求日益加大。</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随着城镇化、工业化的持续推进，新业态、新模式日益涌现，不可知、不可控的风险大量出现，传统风险与新型风险交织叠加，隐蔽性、突发性、耦合性进一步增强，风险防控难度更大。在由全面建成小康社会向基本实现社会主义现代化迈进的进程中,公众对政府及时处置自然灾害和事故灾难、保障公共安全也提出了更高要求,做好新形势下的应急管理工作任重道远。</w:t>
      </w:r>
    </w:p>
    <w:p>
      <w:pPr>
        <w:pStyle w:val="2"/>
        <w:keepNext w:val="0"/>
        <w:keepLines w:val="0"/>
        <w:pageBreakBefore w:val="0"/>
        <w:widowControl w:val="0"/>
        <w:kinsoku/>
        <w:wordWrap/>
        <w:overflowPunct/>
        <w:topLinePunct w:val="0"/>
        <w:autoSpaceDE/>
        <w:autoSpaceDN/>
        <w:bidi w:val="0"/>
        <w:adjustRightInd/>
        <w:snapToGrid/>
        <w:spacing w:before="20" w:line="360" w:lineRule="auto"/>
        <w:ind w:firstLine="64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应急基础依然薄弱。</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应急管理体制机制还不够完善， “统与分”“防与救”的职责分工仍不完全清晰，全市应急系统缺乏有效的监测预警手段和措施，依靠信息化监测预警、抗灾减灾、综合执法等能力不足。综合防灾减灾统计工作尚处在起步阶段,灾害评估工作机制还需完善。地方应急救援队伍建设刚起步，防汛抗旱、地震地质都是半专业应急救援队伍，人员和装备都欠缺。防灾减灾救灾专业人才不足。防灾减灾救灾专业人才教育培养体系不健全，具有风险科学、减灾工程、应急管理等专业背景的人才短缺，防灾减灾救灾干部业务培训不足。对防灾减灾宣传工作的针对性、有效性不强,宣教队伍的整体素质不高。基础设施建设不完善，交通、通信、电力等领域部分基础设施灾害抵御能力有待加强，城乡老旧危屋抗震能力差。综合灾害风险监测预警信息化能力有待加强。应急救援物资储备库建设数量不足,应急避难场所设施不够完善。</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28" w:line="360" w:lineRule="auto"/>
        <w:ind w:left="0" w:leftChars="0" w:firstLine="642" w:firstLineChars="200"/>
        <w:textAlignment w:val="auto"/>
        <w:outlineLvl w:val="1"/>
      </w:pPr>
      <w:bookmarkStart w:id="75" w:name="_Toc833330308_WPSOffice_Level2"/>
      <w:bookmarkStart w:id="76" w:name="_Toc925968195_WPSOffice_Level2"/>
      <w:bookmarkStart w:id="77" w:name="_Toc15346"/>
      <w:r>
        <w:t>“十四五”建设机遇</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十四五”时期是我市由全面建成小康社会向基本实现社会主义现代化迈进的关键时期，是开启全面建设社会主义现代化新征程的第一个五年规划时期，也是机构改革后应急管理工作第一个五年规划时期，是全面提升应急管理工作能力的关键时期，面临诸多新形势、新任务与新挑战。</w:t>
      </w:r>
      <w:bookmarkEnd w:id="68"/>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政治机遇。</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十四五”时期，以习近平同志为核心的党中央坚持以人民为中心的发展思想，把应急管理体系、能力现代化建设、安全生产、防灾减灾工作摆在前所未有的高度，为应急管理事业发展提供了有力保障。内蒙古自治区“两个屏障”“两个基地”“一个桥头堡”的战略定位，</w:t>
      </w:r>
      <w:r>
        <w:rPr>
          <w:rFonts w:hint="eastAsia" w:ascii="仿宋_GB2312" w:eastAsia="仿宋_GB2312"/>
          <w:sz w:val="32"/>
          <w:szCs w:val="32"/>
        </w:rPr>
        <w:t>凸显了应急管理的战略重要性</w:t>
      </w:r>
      <w:r>
        <w:rPr>
          <w:rFonts w:hint="eastAsia" w:ascii="仿宋_GB2312" w:eastAsia="仿宋_GB2312"/>
          <w:sz w:val="32"/>
          <w:szCs w:val="32"/>
          <w:lang w:eastAsia="zh-CN"/>
        </w:rPr>
        <w:t>。</w:t>
      </w:r>
      <w:r>
        <w:rPr>
          <w:rFonts w:hint="eastAsia" w:ascii="仿宋_GB2312" w:eastAsia="仿宋_GB2312"/>
          <w:color w:val="000000"/>
          <w:sz w:val="32"/>
          <w:szCs w:val="32"/>
        </w:rPr>
        <w:t>党中央、国务院</w:t>
      </w:r>
      <w:r>
        <w:rPr>
          <w:rFonts w:hint="eastAsia" w:ascii="仿宋_GB2312" w:eastAsia="仿宋_GB2312"/>
          <w:color w:val="000000"/>
          <w:sz w:val="32"/>
          <w:szCs w:val="32"/>
          <w:lang w:eastAsia="zh-CN"/>
        </w:rPr>
        <w:t>、内蒙古自治区</w:t>
      </w:r>
      <w:r>
        <w:rPr>
          <w:rFonts w:hint="eastAsia" w:ascii="仿宋_GB2312" w:eastAsia="仿宋_GB2312"/>
          <w:color w:val="000000"/>
          <w:sz w:val="32"/>
          <w:szCs w:val="32"/>
        </w:rPr>
        <w:t>和</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委、</w:t>
      </w:r>
      <w:r>
        <w:rPr>
          <w:rFonts w:hint="eastAsia" w:ascii="仿宋_GB2312" w:eastAsia="仿宋_GB2312"/>
          <w:color w:val="000000"/>
          <w:sz w:val="32"/>
          <w:szCs w:val="32"/>
          <w:lang w:eastAsia="zh-CN"/>
        </w:rPr>
        <w:t>市</w:t>
      </w:r>
      <w:r>
        <w:rPr>
          <w:rFonts w:hint="eastAsia" w:ascii="仿宋_GB2312" w:eastAsia="仿宋_GB2312"/>
          <w:color w:val="000000"/>
          <w:sz w:val="32"/>
          <w:szCs w:val="32"/>
        </w:rPr>
        <w:t>政府对应急管理工作高度重视，</w:t>
      </w:r>
      <w:r>
        <w:rPr>
          <w:rFonts w:hint="eastAsia" w:ascii="仿宋_GB2312" w:eastAsia="仿宋_GB2312"/>
          <w:sz w:val="32"/>
          <w:szCs w:val="32"/>
        </w:rPr>
        <w:t>不断加大应急投入，</w:t>
      </w:r>
      <w:r>
        <w:rPr>
          <w:rFonts w:hint="eastAsia" w:ascii="仿宋_GB2312" w:eastAsia="仿宋_GB2312"/>
          <w:color w:val="000000"/>
          <w:sz w:val="32"/>
          <w:szCs w:val="32"/>
        </w:rPr>
        <w:t>为应急管理工作提供了有力的思想保证、组织领导和政策支持。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发展机遇。</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机构改革后，应急部门自上而下，积极适应新体制新要求，逐步厘清应急管理职能，逐步构建监管、执法、指挥、保障、救援、减灾、救灾的“大应急管理”格局，这也是乌海市应急管理体系建设的重大机遇。我市改造提升传统产业。按照高端化、智能化、绿色化方向，加强上下游延链补链强链，全面推进煤焦化工、氯碱化工等传统产业整合重组、提档升级。深入开展“上云用数赋智”行动，加快传统产业数字化改造，积极推广应用新技术、新工艺、新设备，建设一批智能工厂、智能车间、智能园区、智能矿山，为</w:t>
      </w:r>
      <w:r>
        <w:rPr>
          <w:rFonts w:hint="eastAsia" w:ascii="仿宋_GB2312" w:eastAsia="仿宋_GB2312"/>
          <w:sz w:val="32"/>
          <w:szCs w:val="32"/>
        </w:rPr>
        <w:t>加快推进应急管理工作科学化、专业化、智能化和精细化提供了重要支撑。</w:t>
      </w:r>
    </w:p>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ind w:left="0" w:leftChars="0" w:firstLine="0" w:firstLineChars="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pPr>
    </w:p>
    <w:p>
      <w:pPr>
        <w:pStyle w:val="20"/>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42" w:firstLineChars="200"/>
        <w:jc w:val="center"/>
        <w:textAlignment w:val="auto"/>
        <w:outlineLvl w:val="0"/>
        <w:rPr>
          <w:rFonts w:hint="eastAsia" w:ascii="黑体" w:eastAsia="黑体"/>
          <w:b/>
          <w:bCs/>
          <w:sz w:val="32"/>
          <w:szCs w:val="32"/>
        </w:rPr>
      </w:pPr>
      <w:bookmarkStart w:id="78" w:name="_Toc18526"/>
      <w:r>
        <w:rPr>
          <w:rFonts w:hint="eastAsia" w:ascii="黑体" w:eastAsia="黑体"/>
          <w:b/>
          <w:bCs/>
          <w:sz w:val="32"/>
          <w:szCs w:val="32"/>
          <w:lang w:val="en-US" w:eastAsia="zh-CN"/>
        </w:rPr>
        <w:t xml:space="preserve"> </w:t>
      </w:r>
      <w:bookmarkStart w:id="79" w:name="_Toc530992374_WPSOffice_Level1"/>
      <w:bookmarkStart w:id="80" w:name="_Toc1280320884_WPSOffice_Level1"/>
      <w:r>
        <w:rPr>
          <w:rFonts w:hint="eastAsia" w:ascii="黑体" w:eastAsia="黑体"/>
          <w:b/>
          <w:bCs/>
          <w:sz w:val="32"/>
          <w:szCs w:val="32"/>
        </w:rPr>
        <w:t>指导思想、基本原则和建设目标</w:t>
      </w:r>
      <w:bookmarkEnd w:id="78"/>
      <w:bookmarkEnd w:id="79"/>
      <w:bookmarkEnd w:id="80"/>
    </w:p>
    <w:p>
      <w:pPr>
        <w:pStyle w:val="4"/>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2" w:firstLineChars="200"/>
        <w:textAlignment w:val="auto"/>
        <w:outlineLvl w:val="1"/>
      </w:pPr>
      <w:bookmarkStart w:id="81" w:name="_Toc389"/>
      <w:bookmarkStart w:id="82" w:name="_Toc1740248008_WPSOffice_Level2"/>
      <w:bookmarkStart w:id="83" w:name="_Toc1864914550_WPSOffice_Level2"/>
      <w:r>
        <w:t>指导思想</w:t>
      </w:r>
      <w:bookmarkEnd w:id="81"/>
      <w:bookmarkEnd w:id="82"/>
      <w:bookmarkEnd w:id="83"/>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坚持以习近平新时代中国特色社会主义思想为指导，全面贯彻党的十九大和十九届二中、三中、四中、五中</w:t>
      </w:r>
      <w:r>
        <w:rPr>
          <w:rFonts w:hint="eastAsia" w:ascii="仿宋_GB2312" w:hAnsi="Times New Roman" w:eastAsia="仿宋_GB2312"/>
          <w:color w:val="000000" w:themeColor="text1"/>
          <w:sz w:val="32"/>
          <w:szCs w:val="32"/>
          <w:lang w:eastAsia="zh-CN"/>
          <w14:textFill>
            <w14:solidFill>
              <w14:schemeClr w14:val="tx1"/>
            </w14:solidFill>
          </w14:textFill>
        </w:rPr>
        <w:t>、六中</w:t>
      </w:r>
      <w:r>
        <w:rPr>
          <w:rFonts w:hint="eastAsia" w:ascii="仿宋_GB2312" w:hAnsi="Times New Roman" w:eastAsia="仿宋_GB2312"/>
          <w:color w:val="000000" w:themeColor="text1"/>
          <w:sz w:val="32"/>
          <w:szCs w:val="32"/>
          <w14:textFill>
            <w14:solidFill>
              <w14:schemeClr w14:val="tx1"/>
            </w14:solidFill>
          </w14:textFill>
        </w:rPr>
        <w:t>全会</w:t>
      </w:r>
      <w:r>
        <w:rPr>
          <w:rFonts w:hint="eastAsia" w:ascii="仿宋_GB2312" w:hAnsi="Times New Roman" w:eastAsia="仿宋_GB2312"/>
          <w:color w:val="000000" w:themeColor="text1"/>
          <w:sz w:val="32"/>
          <w:szCs w:val="32"/>
          <w:lang w:eastAsia="zh-CN"/>
          <w14:textFill>
            <w14:solidFill>
              <w14:schemeClr w14:val="tx1"/>
            </w14:solidFill>
          </w14:textFill>
        </w:rPr>
        <w:t>和</w:t>
      </w:r>
      <w:r>
        <w:rPr>
          <w:rFonts w:hint="eastAsia" w:ascii="仿宋_GB2312" w:hAnsi="Times New Roman" w:eastAsia="仿宋_GB2312"/>
          <w:color w:val="000000" w:themeColor="text1"/>
          <w:sz w:val="32"/>
          <w:szCs w:val="32"/>
          <w14:textFill>
            <w14:solidFill>
              <w14:schemeClr w14:val="tx1"/>
            </w14:solidFill>
          </w14:textFill>
        </w:rPr>
        <w:t>习近平总书记关于安全生产</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综合防灾减灾、应急体系建设</w:t>
      </w:r>
      <w:r>
        <w:rPr>
          <w:rFonts w:hint="eastAsia" w:ascii="仿宋_GB2312" w:hAnsi="Times New Roman" w:eastAsia="仿宋_GB2312"/>
          <w:color w:val="000000" w:themeColor="text1"/>
          <w:sz w:val="32"/>
          <w:szCs w:val="32"/>
          <w14:textFill>
            <w14:solidFill>
              <w14:schemeClr w14:val="tx1"/>
            </w14:solidFill>
          </w14:textFill>
        </w:rPr>
        <w:t>重要论述</w:t>
      </w:r>
      <w:r>
        <w:rPr>
          <w:rFonts w:hint="eastAsia" w:ascii="仿宋_GB2312" w:hAnsi="Times New Roman" w:eastAsia="仿宋_GB2312"/>
          <w:color w:val="000000" w:themeColor="text1"/>
          <w:sz w:val="32"/>
          <w:szCs w:val="32"/>
          <w:lang w:val="en-US" w:eastAsia="zh-CN"/>
          <w14:textFill>
            <w14:solidFill>
              <w14:schemeClr w14:val="tx1"/>
            </w14:solidFill>
          </w14:textFill>
        </w:rPr>
        <w:t>的具体行动，全面落实乌海市委八届党代会要求，</w:t>
      </w:r>
      <w:r>
        <w:rPr>
          <w:rFonts w:hint="eastAsia" w:ascii="仿宋_GB2312" w:hAnsi="Times New Roman" w:eastAsia="仿宋_GB2312"/>
          <w:color w:val="000000" w:themeColor="text1"/>
          <w:sz w:val="32"/>
          <w:szCs w:val="32"/>
          <w14:textFill>
            <w14:solidFill>
              <w14:schemeClr w14:val="tx1"/>
            </w14:solidFill>
          </w14:textFill>
        </w:rPr>
        <w:t>重点解决制约我市应急管理体系建设的关键性、基础性、共性问题，促进我市应急管理工作的发展</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着力建机制、补短板、强能力、促协同，统筹自然灾害防治工作，全力防范化解重大安全风险</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全面加强应急管理体系和应急能力建设，全面提升应急管理水平</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最大限度降低事故灾害风险和损失。</w:t>
      </w:r>
      <w:r>
        <w:rPr>
          <w:rFonts w:hint="eastAsia" w:ascii="仿宋_GB2312" w:hAnsi="Times New Roman" w:eastAsia="仿宋_GB2312"/>
          <w:color w:val="000000" w:themeColor="text1"/>
          <w:sz w:val="32"/>
          <w:szCs w:val="32"/>
          <w:lang w:val="en-US" w:eastAsia="zh-CN"/>
          <w14:textFill>
            <w14:solidFill>
              <w14:schemeClr w14:val="tx1"/>
            </w14:solidFill>
          </w14:textFill>
        </w:rPr>
        <w:t>为建设亮丽内蒙古、推动我市走以生态优先、绿色发展为导向的高质量发展路子保驾护航，</w:t>
      </w:r>
      <w:r>
        <w:rPr>
          <w:rFonts w:hint="eastAsia" w:ascii="仿宋_GB2312" w:hAnsi="Times New Roman" w:eastAsia="仿宋_GB2312"/>
          <w:color w:val="000000" w:themeColor="text1"/>
          <w:sz w:val="32"/>
          <w:szCs w:val="32"/>
          <w14:textFill>
            <w14:solidFill>
              <w14:schemeClr w14:val="tx1"/>
            </w14:solidFill>
          </w14:textFill>
        </w:rPr>
        <w:t>不断增强全市人民的获得感、幸福感、安全感。</w:t>
      </w:r>
    </w:p>
    <w:p>
      <w:pPr>
        <w:pStyle w:val="4"/>
        <w:keepNext w:val="0"/>
        <w:keepLines w:val="0"/>
        <w:pageBreakBefore w:val="0"/>
        <w:widowControl w:val="0"/>
        <w:numPr>
          <w:ilvl w:val="0"/>
          <w:numId w:val="3"/>
        </w:numPr>
        <w:kinsoku/>
        <w:wordWrap/>
        <w:overflowPunct/>
        <w:topLinePunct w:val="0"/>
        <w:autoSpaceDE/>
        <w:autoSpaceDN/>
        <w:bidi w:val="0"/>
        <w:adjustRightInd/>
        <w:snapToGrid/>
        <w:spacing w:before="31" w:line="360" w:lineRule="auto"/>
        <w:ind w:left="0" w:leftChars="0" w:firstLine="642" w:firstLineChars="200"/>
        <w:textAlignment w:val="auto"/>
        <w:outlineLvl w:val="1"/>
      </w:pPr>
      <w:bookmarkStart w:id="84" w:name="_Toc1080165945_WPSOffice_Level2"/>
      <w:bookmarkStart w:id="85" w:name="_Toc9276"/>
      <w:bookmarkStart w:id="86" w:name="_Toc1902299452_WPSOffice_Level2"/>
      <w:r>
        <w:t>基本原则</w:t>
      </w:r>
      <w:bookmarkEnd w:id="84"/>
      <w:bookmarkEnd w:id="85"/>
      <w:bookmarkEnd w:id="86"/>
    </w:p>
    <w:p>
      <w:pPr>
        <w:pStyle w:val="2"/>
        <w:keepNext w:val="0"/>
        <w:keepLines w:val="0"/>
        <w:pageBreakBefore w:val="0"/>
        <w:widowControl w:val="0"/>
        <w:numPr>
          <w:ilvl w:val="0"/>
          <w:numId w:val="0"/>
        </w:numPr>
        <w:kinsoku/>
        <w:wordWrap/>
        <w:overflowPunct/>
        <w:topLinePunct w:val="0"/>
        <w:autoSpaceDE/>
        <w:autoSpaceDN/>
        <w:bidi w:val="0"/>
        <w:adjustRightInd/>
        <w:snapToGrid/>
        <w:spacing w:before="43" w:line="360" w:lineRule="auto"/>
        <w:ind w:firstLine="642" w:firstLineChars="200"/>
        <w:jc w:val="left"/>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1.坚持党的领导。</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坚持党对应急管理工作的绝对领导，提高党把方向、谋大局、定政策、促改革的能力和定力，把党的政治优势、组织优势和制度优势转化为发展优势，为应急管理体系和能力建设凝聚力量、提供保障。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43" w:line="360" w:lineRule="auto"/>
        <w:ind w:firstLine="642" w:firstLineChars="200"/>
        <w:jc w:val="left"/>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2.坚持以人为本。</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全面贯彻以人民为中心的发展思想，把确保人民群众生命安全放在首位。牢固树立安全发展理念，完善安全生产责任制，有效防范减少一般和较大事故发生，坚决遏制重大事故发生，杜绝发生重特大安全事故。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3.坚持依法治理。</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运用法治思维和法治方式解决应急管理领域的问题，完善应急管理领域法规和标准体系，创新和完善监管方式，严格监管执法，加快应急管理工作的法制化、规范化、制度化步伐。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4.坚持预防为主。</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以习近平总书记“两个坚持、三个转变”防灾减灾新理念作为根本遵循，坚持源头治理，关口前移，筑牢防灾基础设施，加强应急能力建设，及时有效应对灾害事故，减少人民生命财产损失。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5.坚持系统观念。</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在充分利用已有应急救援和保障能力的基础上，梳理部门和地方需求，合理规划需要，补充、完善和强化建设内容，重点完善信息和资源共享机制，提高核心应急救援能力、风险防控能力和应急基础能力。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6.坚持社会共治。</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完善政府治理，注重发挥市场机制作用，充分调动群众的积极性、主动性和创造性，拓展人民群众参与应急管理的有效途径，强化社会参与完善各方联动机制，加强区域协同、城乡协同、行业领域协同、军地协同,打造共建共治共享的应急管理新格局。</w:t>
      </w:r>
    </w:p>
    <w:p>
      <w:pPr>
        <w:pStyle w:val="4"/>
        <w:keepNext w:val="0"/>
        <w:keepLines w:val="0"/>
        <w:pageBreakBefore w:val="0"/>
        <w:widowControl w:val="0"/>
        <w:kinsoku/>
        <w:wordWrap/>
        <w:overflowPunct/>
        <w:topLinePunct w:val="0"/>
        <w:autoSpaceDE/>
        <w:autoSpaceDN/>
        <w:bidi w:val="0"/>
        <w:adjustRightInd/>
        <w:snapToGrid/>
        <w:spacing w:before="171" w:line="360" w:lineRule="auto"/>
        <w:ind w:left="0" w:leftChars="0" w:firstLine="642" w:firstLineChars="200"/>
        <w:textAlignment w:val="auto"/>
        <w:outlineLvl w:val="1"/>
      </w:pPr>
      <w:bookmarkStart w:id="87" w:name="_Toc21824"/>
      <w:bookmarkStart w:id="88" w:name="_Toc850312627_WPSOffice_Level2"/>
      <w:bookmarkStart w:id="89" w:name="_Toc41873610_WPSOffice_Level2"/>
      <w:r>
        <w:t>（三）建设目标</w:t>
      </w:r>
      <w:bookmarkEnd w:id="87"/>
      <w:bookmarkEnd w:id="88"/>
      <w:bookmarkEnd w:id="89"/>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总体目标：到2025年，我市应急管理体系和能力现代化建设取得重大进展，应急管理体系进一步健全，处理急难险重任务能力显著增强。全市应急队伍体系不断完善，应急救援能力全面加强，应急风险防控、应急保障能力明显改善，应急管理科技信息化水平持续提升，应急合作交流和应急宣教培训工作深入开展，基本形成组织领导有力、指挥应对科学、救援能力较强、物资保障充分、灾害救助及时、联防联控有序、上下衔接顺畅、符合我市实际的应急管理格局，安全生产、综合防灾减灾形势继续趋稳向好，生产安全事故总量持续下降，自然灾害防御水平明显提升，防范应对处置灾害事故的能力显著增强。到2035年，建立与基本实现现代化相适应的应急体系，全市重大安全风险防控水平大幅提升，安全生产形势根本好转，自然灾害防御和巨灾应对能力显著增强，依法应急、科学应急、智慧应急水平达到新高度，共商共建共治共享的应急管理新格局全面形成，人民群众的获得感、幸福感、安全感显著增强。</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分项目标：</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outlineLvl w:val="2"/>
      </w:pPr>
      <w:bookmarkStart w:id="90" w:name="_Toc11179"/>
      <w:bookmarkStart w:id="91" w:name="_Toc530992374_WPSOffice_Level3"/>
      <w:r>
        <w:rPr>
          <w:rFonts w:hint="eastAsia" w:ascii="仿宋_GB2312" w:hAnsi="Times New Roman" w:eastAsia="仿宋_GB2312"/>
          <w:color w:val="000000" w:themeColor="text1"/>
          <w:sz w:val="32"/>
          <w:szCs w:val="32"/>
          <w:lang w:val="en-US" w:eastAsia="zh-CN"/>
          <w14:textFill>
            <w14:solidFill>
              <w14:schemeClr w14:val="tx1"/>
            </w14:solidFill>
          </w14:textFill>
        </w:rPr>
        <w:t>1.</w:t>
      </w:r>
      <w:r>
        <w:rPr>
          <w:rFonts w:hint="eastAsia" w:ascii="仿宋_GB2312" w:hAnsi="Times New Roman" w:eastAsia="仿宋_GB2312"/>
          <w:color w:val="000000" w:themeColor="text1"/>
          <w:sz w:val="32"/>
          <w:szCs w:val="32"/>
          <w14:textFill>
            <w14:solidFill>
              <w14:schemeClr w14:val="tx1"/>
            </w14:solidFill>
          </w14:textFill>
        </w:rPr>
        <w:t>安全生产</w:t>
      </w:r>
      <w:r>
        <w:rPr>
          <w:rFonts w:hint="eastAsia" w:ascii="仿宋_GB2312" w:hAnsi="Times New Roman" w:eastAsia="仿宋_GB2312"/>
          <w:color w:val="000000" w:themeColor="text1"/>
          <w:sz w:val="32"/>
          <w:szCs w:val="32"/>
          <w:lang w:val="en-US" w:eastAsia="zh-CN"/>
          <w14:textFill>
            <w14:solidFill>
              <w14:schemeClr w14:val="tx1"/>
            </w14:solidFill>
          </w14:textFill>
        </w:rPr>
        <w:t>方面</w:t>
      </w:r>
      <w:bookmarkEnd w:id="90"/>
      <w:bookmarkEnd w:id="91"/>
    </w:p>
    <w:p>
      <w:pPr>
        <w:pStyle w:val="2"/>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到2025年，全市安全生产治理体系和治理能力现代化建设取得重大进展，安全生产事故风险防控水平全面提升，安全生产责任进一步落实，事故应急救援能力显著增强，事故总量进一步下降，化工、工矿商贸行业事故得到有效遏制。</w:t>
      </w:r>
    </w:p>
    <w:p>
      <w:pPr>
        <w:pStyle w:val="2"/>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Times New Roman" w:eastAsia="仿宋_GB2312"/>
          <w:color w:val="000000" w:themeColor="text1"/>
          <w:sz w:val="32"/>
          <w:szCs w:val="32"/>
          <w:lang w:val="en-US" w:eastAsia="zh-CN"/>
          <w14:textFill>
            <w14:solidFill>
              <w14:schemeClr w14:val="tx1"/>
            </w14:solidFill>
          </w14:textFill>
        </w:rPr>
      </w:pPr>
    </w:p>
    <w:tbl>
      <w:tblPr>
        <w:tblStyle w:val="15"/>
        <w:tblpPr w:leftFromText="180" w:rightFromText="180" w:vertAnchor="text" w:horzAnchor="page" w:tblpX="1843" w:tblpY="374"/>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3"/>
        <w:gridCol w:w="885"/>
        <w:gridCol w:w="4551"/>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4"/>
            <w:tcBorders>
              <w:right w:val="single" w:color="auto" w:sz="4" w:space="0"/>
            </w:tcBorders>
            <w:noWrap w:val="0"/>
            <w:vAlign w:val="center"/>
          </w:tcPr>
          <w:p>
            <w:pPr>
              <w:autoSpaceDE w:val="0"/>
              <w:autoSpaceDN w:val="0"/>
              <w:adjustRightInd w:val="0"/>
              <w:spacing w:line="336" w:lineRule="auto"/>
              <w:jc w:val="center"/>
              <w:rPr>
                <w:rFonts w:ascii="Times New Roman" w:hAnsi="Times New Roman" w:eastAsia="仿宋_GB2312" w:cs="Times New Roman"/>
                <w:b/>
                <w:color w:val="000000"/>
                <w:kern w:val="0"/>
                <w:sz w:val="20"/>
                <w:szCs w:val="21"/>
              </w:rPr>
            </w:pPr>
            <w:r>
              <w:rPr>
                <w:rFonts w:ascii="Times New Roman" w:hAnsi="Times New Roman" w:eastAsia="仿宋_GB2312" w:cs="Times New Roman"/>
                <w:b/>
                <w:color w:val="000000"/>
                <w:kern w:val="0"/>
                <w:sz w:val="20"/>
                <w:szCs w:val="21"/>
              </w:rPr>
              <w:t>“十</w:t>
            </w:r>
            <w:r>
              <w:rPr>
                <w:rFonts w:hint="eastAsia" w:ascii="Times New Roman" w:hAnsi="Times New Roman" w:eastAsia="仿宋_GB2312" w:cs="Times New Roman"/>
                <w:b/>
                <w:color w:val="000000"/>
                <w:kern w:val="0"/>
                <w:sz w:val="20"/>
                <w:szCs w:val="21"/>
              </w:rPr>
              <w:t>四</w:t>
            </w:r>
            <w:r>
              <w:rPr>
                <w:rFonts w:ascii="Times New Roman" w:hAnsi="Times New Roman" w:eastAsia="仿宋_GB2312" w:cs="Times New Roman"/>
                <w:b/>
                <w:color w:val="000000"/>
                <w:kern w:val="0"/>
                <w:sz w:val="20"/>
                <w:szCs w:val="21"/>
              </w:rPr>
              <w:t>五”</w:t>
            </w:r>
            <w:r>
              <w:rPr>
                <w:rFonts w:hint="eastAsia" w:ascii="Times New Roman" w:hAnsi="Times New Roman" w:eastAsia="仿宋_GB2312" w:cs="Times New Roman"/>
                <w:b/>
                <w:color w:val="000000"/>
                <w:kern w:val="0"/>
                <w:sz w:val="20"/>
                <w:szCs w:val="21"/>
              </w:rPr>
              <w:t>乌海市安全生产建设指标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3" w:type="dxa"/>
            <w:noWrap w:val="0"/>
            <w:vAlign w:val="center"/>
          </w:tcPr>
          <w:p>
            <w:pPr>
              <w:autoSpaceDE w:val="0"/>
              <w:autoSpaceDN w:val="0"/>
              <w:adjustRightInd w:val="0"/>
              <w:spacing w:line="336" w:lineRule="auto"/>
              <w:jc w:val="center"/>
              <w:rPr>
                <w:rFonts w:ascii="Times New Roman" w:hAnsi="Times New Roman" w:eastAsia="仿宋_GB2312" w:cs="Times New Roman"/>
                <w:b/>
                <w:color w:val="000000"/>
                <w:kern w:val="0"/>
                <w:sz w:val="20"/>
                <w:szCs w:val="21"/>
              </w:rPr>
            </w:pPr>
            <w:r>
              <w:rPr>
                <w:rFonts w:hint="eastAsia" w:ascii="Times New Roman" w:hAnsi="Times New Roman" w:eastAsia="仿宋_GB2312" w:cs="Times New Roman"/>
                <w:b/>
                <w:color w:val="000000"/>
                <w:kern w:val="0"/>
                <w:sz w:val="20"/>
                <w:szCs w:val="21"/>
              </w:rPr>
              <w:t>分类</w:t>
            </w:r>
          </w:p>
        </w:tc>
        <w:tc>
          <w:tcPr>
            <w:tcW w:w="885" w:type="dxa"/>
            <w:tcBorders>
              <w:right w:val="single" w:color="auto" w:sz="4" w:space="0"/>
            </w:tcBorders>
            <w:noWrap w:val="0"/>
            <w:vAlign w:val="center"/>
          </w:tcPr>
          <w:p>
            <w:pPr>
              <w:autoSpaceDE w:val="0"/>
              <w:autoSpaceDN w:val="0"/>
              <w:adjustRightInd w:val="0"/>
              <w:spacing w:line="336" w:lineRule="auto"/>
              <w:jc w:val="center"/>
              <w:rPr>
                <w:rFonts w:ascii="Times New Roman" w:hAnsi="Times New Roman" w:eastAsia="仿宋_GB2312" w:cs="Times New Roman"/>
                <w:b/>
                <w:color w:val="000000"/>
                <w:kern w:val="0"/>
                <w:sz w:val="20"/>
                <w:szCs w:val="21"/>
              </w:rPr>
            </w:pPr>
            <w:r>
              <w:rPr>
                <w:rFonts w:ascii="Times New Roman" w:hAnsi="Times New Roman" w:eastAsia="仿宋_GB2312" w:cs="Times New Roman"/>
                <w:b/>
                <w:color w:val="000000"/>
                <w:kern w:val="0"/>
                <w:sz w:val="20"/>
                <w:szCs w:val="21"/>
              </w:rPr>
              <w:t>序号</w:t>
            </w:r>
          </w:p>
        </w:tc>
        <w:tc>
          <w:tcPr>
            <w:tcW w:w="4551" w:type="dxa"/>
            <w:tcBorders>
              <w:left w:val="single" w:color="auto" w:sz="4" w:space="0"/>
              <w:right w:val="single" w:color="auto" w:sz="4" w:space="0"/>
            </w:tcBorders>
            <w:noWrap w:val="0"/>
            <w:vAlign w:val="center"/>
          </w:tcPr>
          <w:p>
            <w:pPr>
              <w:autoSpaceDE w:val="0"/>
              <w:autoSpaceDN w:val="0"/>
              <w:adjustRightInd w:val="0"/>
              <w:spacing w:line="336" w:lineRule="auto"/>
              <w:jc w:val="center"/>
              <w:rPr>
                <w:rFonts w:ascii="Times New Roman" w:hAnsi="Times New Roman" w:eastAsia="仿宋_GB2312" w:cs="Times New Roman"/>
                <w:b/>
                <w:color w:val="000000"/>
                <w:kern w:val="0"/>
                <w:sz w:val="20"/>
                <w:szCs w:val="21"/>
              </w:rPr>
            </w:pPr>
            <w:r>
              <w:rPr>
                <w:rFonts w:ascii="Times New Roman" w:hAnsi="Times New Roman" w:eastAsia="仿宋_GB2312" w:cs="Times New Roman"/>
                <w:b/>
                <w:color w:val="000000"/>
                <w:kern w:val="0"/>
                <w:sz w:val="20"/>
                <w:szCs w:val="21"/>
              </w:rPr>
              <w:t>指标名称</w:t>
            </w:r>
          </w:p>
        </w:tc>
        <w:tc>
          <w:tcPr>
            <w:tcW w:w="1853" w:type="dxa"/>
            <w:tcBorders>
              <w:left w:val="single" w:color="auto" w:sz="4" w:space="0"/>
              <w:right w:val="single" w:color="auto" w:sz="4" w:space="0"/>
            </w:tcBorders>
            <w:noWrap w:val="0"/>
            <w:vAlign w:val="center"/>
          </w:tcPr>
          <w:p>
            <w:pPr>
              <w:autoSpaceDE w:val="0"/>
              <w:autoSpaceDN w:val="0"/>
              <w:adjustRightInd w:val="0"/>
              <w:spacing w:line="336" w:lineRule="auto"/>
              <w:jc w:val="center"/>
              <w:rPr>
                <w:rFonts w:ascii="Times New Roman" w:hAnsi="Times New Roman" w:eastAsia="仿宋_GB2312" w:cs="Times New Roman"/>
                <w:b/>
                <w:color w:val="000000"/>
                <w:kern w:val="0"/>
                <w:sz w:val="20"/>
                <w:szCs w:val="21"/>
              </w:rPr>
            </w:pPr>
            <w:r>
              <w:rPr>
                <w:rFonts w:hint="eastAsia" w:ascii="Times New Roman" w:hAnsi="Times New Roman" w:eastAsia="仿宋_GB2312" w:cs="Times New Roman"/>
                <w:b/>
                <w:color w:val="000000"/>
                <w:kern w:val="0"/>
                <w:sz w:val="20"/>
                <w:szCs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3" w:type="dxa"/>
            <w:vMerge w:val="restart"/>
            <w:noWrap w:val="0"/>
            <w:vAlign w:val="center"/>
          </w:tcPr>
          <w:p>
            <w:pPr>
              <w:autoSpaceDE w:val="0"/>
              <w:autoSpaceDN w:val="0"/>
              <w:adjustRightInd w:val="0"/>
              <w:spacing w:line="336" w:lineRule="auto"/>
              <w:jc w:val="center"/>
              <w:rPr>
                <w:rFonts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安全生产综合指标</w:t>
            </w:r>
          </w:p>
        </w:tc>
        <w:tc>
          <w:tcPr>
            <w:tcW w:w="885" w:type="dxa"/>
            <w:noWrap w:val="0"/>
            <w:vAlign w:val="center"/>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1</w:t>
            </w:r>
          </w:p>
        </w:tc>
        <w:tc>
          <w:tcPr>
            <w:tcW w:w="4551" w:type="dxa"/>
            <w:noWrap w:val="0"/>
            <w:vAlign w:val="top"/>
          </w:tcPr>
          <w:p>
            <w:pPr>
              <w:autoSpaceDE w:val="0"/>
              <w:autoSpaceDN w:val="0"/>
              <w:adjustRightInd w:val="0"/>
              <w:spacing w:line="336" w:lineRule="auto"/>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生产安全事故死亡人数</w:t>
            </w:r>
          </w:p>
        </w:tc>
        <w:tc>
          <w:tcPr>
            <w:tcW w:w="1853" w:type="dxa"/>
            <w:noWrap w:val="0"/>
            <w:vAlign w:val="top"/>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下降10%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33" w:type="dxa"/>
            <w:vMerge w:val="continue"/>
            <w:noWrap w:val="0"/>
            <w:vAlign w:val="center"/>
          </w:tcPr>
          <w:p>
            <w:pPr>
              <w:autoSpaceDE w:val="0"/>
              <w:autoSpaceDN w:val="0"/>
              <w:adjustRightInd w:val="0"/>
              <w:spacing w:line="336" w:lineRule="auto"/>
              <w:jc w:val="center"/>
              <w:rPr>
                <w:rFonts w:ascii="仿宋_GB2312" w:hAnsi="Times New Roman" w:eastAsia="仿宋_GB2312"/>
                <w:b/>
                <w:color w:val="000000"/>
                <w:kern w:val="0"/>
                <w:sz w:val="20"/>
                <w:szCs w:val="21"/>
              </w:rPr>
            </w:pPr>
          </w:p>
        </w:tc>
        <w:tc>
          <w:tcPr>
            <w:tcW w:w="885" w:type="dxa"/>
            <w:noWrap w:val="0"/>
            <w:vAlign w:val="center"/>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b/>
                <w:color w:val="000000"/>
                <w:kern w:val="0"/>
                <w:sz w:val="20"/>
                <w:szCs w:val="21"/>
              </w:rPr>
              <w:t>2</w:t>
            </w:r>
          </w:p>
        </w:tc>
        <w:tc>
          <w:tcPr>
            <w:tcW w:w="4551" w:type="dxa"/>
            <w:noWrap w:val="0"/>
            <w:vAlign w:val="top"/>
          </w:tcPr>
          <w:p>
            <w:pPr>
              <w:autoSpaceDE w:val="0"/>
              <w:autoSpaceDN w:val="0"/>
              <w:adjustRightInd w:val="0"/>
              <w:spacing w:line="336" w:lineRule="auto"/>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重特大生产安全事故起数</w:t>
            </w:r>
          </w:p>
        </w:tc>
        <w:tc>
          <w:tcPr>
            <w:tcW w:w="1853" w:type="dxa"/>
            <w:noWrap w:val="0"/>
            <w:vAlign w:val="top"/>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1233" w:type="dxa"/>
            <w:vMerge w:val="continue"/>
            <w:noWrap w:val="0"/>
            <w:vAlign w:val="center"/>
          </w:tcPr>
          <w:p>
            <w:pPr>
              <w:autoSpaceDE w:val="0"/>
              <w:autoSpaceDN w:val="0"/>
              <w:adjustRightInd w:val="0"/>
              <w:spacing w:line="336" w:lineRule="auto"/>
              <w:jc w:val="center"/>
              <w:rPr>
                <w:rFonts w:ascii="仿宋_GB2312" w:hAnsi="Times New Roman" w:eastAsia="仿宋_GB2312"/>
                <w:b/>
                <w:color w:val="000000"/>
                <w:kern w:val="0"/>
                <w:sz w:val="20"/>
                <w:szCs w:val="21"/>
              </w:rPr>
            </w:pPr>
          </w:p>
        </w:tc>
        <w:tc>
          <w:tcPr>
            <w:tcW w:w="885" w:type="dxa"/>
            <w:noWrap w:val="0"/>
            <w:vAlign w:val="center"/>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b/>
                <w:color w:val="000000"/>
                <w:kern w:val="0"/>
                <w:sz w:val="20"/>
                <w:szCs w:val="21"/>
              </w:rPr>
              <w:t>3</w:t>
            </w:r>
          </w:p>
        </w:tc>
        <w:tc>
          <w:tcPr>
            <w:tcW w:w="4551" w:type="dxa"/>
            <w:noWrap w:val="0"/>
            <w:vAlign w:val="top"/>
          </w:tcPr>
          <w:p>
            <w:pPr>
              <w:autoSpaceDE w:val="0"/>
              <w:autoSpaceDN w:val="0"/>
              <w:adjustRightInd w:val="0"/>
              <w:spacing w:line="336" w:lineRule="auto"/>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亿元生产总值生产安全事故死亡率</w:t>
            </w:r>
          </w:p>
        </w:tc>
        <w:tc>
          <w:tcPr>
            <w:tcW w:w="1853" w:type="dxa"/>
            <w:noWrap w:val="0"/>
            <w:vAlign w:val="top"/>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下降20%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233" w:type="dxa"/>
            <w:vMerge w:val="restart"/>
            <w:noWrap w:val="0"/>
            <w:vAlign w:val="center"/>
          </w:tcPr>
          <w:p>
            <w:pPr>
              <w:autoSpaceDE w:val="0"/>
              <w:autoSpaceDN w:val="0"/>
              <w:adjustRightInd w:val="0"/>
              <w:spacing w:line="336" w:lineRule="auto"/>
              <w:jc w:val="center"/>
              <w:rPr>
                <w:rFonts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安全生产行业指标</w:t>
            </w:r>
          </w:p>
        </w:tc>
        <w:tc>
          <w:tcPr>
            <w:tcW w:w="885" w:type="dxa"/>
            <w:noWrap w:val="0"/>
            <w:vAlign w:val="center"/>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b/>
                <w:color w:val="000000"/>
                <w:kern w:val="0"/>
                <w:sz w:val="20"/>
                <w:szCs w:val="21"/>
              </w:rPr>
              <w:t>4</w:t>
            </w:r>
          </w:p>
        </w:tc>
        <w:tc>
          <w:tcPr>
            <w:tcW w:w="4551" w:type="dxa"/>
            <w:noWrap w:val="0"/>
            <w:vAlign w:val="top"/>
          </w:tcPr>
          <w:p>
            <w:pPr>
              <w:autoSpaceDE w:val="0"/>
              <w:autoSpaceDN w:val="0"/>
              <w:adjustRightInd w:val="0"/>
              <w:spacing w:line="336" w:lineRule="auto"/>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化工</w:t>
            </w:r>
          </w:p>
        </w:tc>
        <w:tc>
          <w:tcPr>
            <w:tcW w:w="1853" w:type="dxa"/>
            <w:noWrap w:val="0"/>
            <w:vAlign w:val="top"/>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下降5%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3" w:type="dxa"/>
            <w:vMerge w:val="continue"/>
            <w:noWrap w:val="0"/>
            <w:vAlign w:val="center"/>
          </w:tcPr>
          <w:p>
            <w:pPr>
              <w:autoSpaceDE w:val="0"/>
              <w:autoSpaceDN w:val="0"/>
              <w:adjustRightInd w:val="0"/>
              <w:spacing w:line="336" w:lineRule="auto"/>
              <w:jc w:val="center"/>
              <w:rPr>
                <w:rFonts w:ascii="仿宋_GB2312" w:hAnsi="Times New Roman" w:eastAsia="仿宋_GB2312"/>
                <w:b/>
                <w:color w:val="000000"/>
                <w:kern w:val="0"/>
                <w:sz w:val="20"/>
                <w:szCs w:val="21"/>
              </w:rPr>
            </w:pPr>
          </w:p>
        </w:tc>
        <w:tc>
          <w:tcPr>
            <w:tcW w:w="885" w:type="dxa"/>
            <w:noWrap w:val="0"/>
            <w:vAlign w:val="center"/>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b/>
                <w:bCs/>
                <w:color w:val="000000"/>
                <w:kern w:val="0"/>
                <w:sz w:val="20"/>
                <w:szCs w:val="21"/>
              </w:rPr>
              <w:t>5</w:t>
            </w:r>
          </w:p>
        </w:tc>
        <w:tc>
          <w:tcPr>
            <w:tcW w:w="4551" w:type="dxa"/>
            <w:noWrap w:val="0"/>
            <w:vAlign w:val="top"/>
          </w:tcPr>
          <w:p>
            <w:pPr>
              <w:autoSpaceDE w:val="0"/>
              <w:autoSpaceDN w:val="0"/>
              <w:adjustRightInd w:val="0"/>
              <w:spacing w:line="336" w:lineRule="auto"/>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工矿商贸</w:t>
            </w:r>
          </w:p>
        </w:tc>
        <w:tc>
          <w:tcPr>
            <w:tcW w:w="1853" w:type="dxa"/>
            <w:noWrap w:val="0"/>
            <w:vAlign w:val="top"/>
          </w:tcPr>
          <w:p>
            <w:pPr>
              <w:autoSpaceDE w:val="0"/>
              <w:autoSpaceDN w:val="0"/>
              <w:adjustRightInd w:val="0"/>
              <w:spacing w:line="336" w:lineRule="auto"/>
              <w:jc w:val="center"/>
              <w:rPr>
                <w:rFonts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下降10%</w:t>
            </w:r>
          </w:p>
        </w:tc>
      </w:tr>
    </w:tbl>
    <w:p>
      <w:pPr>
        <w:pStyle w:val="2"/>
        <w:keepNext w:val="0"/>
        <w:keepLines w:val="0"/>
        <w:pageBreakBefore w:val="0"/>
        <w:widowControl w:val="0"/>
        <w:kinsoku/>
        <w:wordWrap/>
        <w:overflowPunct/>
        <w:topLinePunct w:val="0"/>
        <w:autoSpaceDE/>
        <w:autoSpaceDN/>
        <w:bidi w:val="0"/>
        <w:spacing w:line="360" w:lineRule="auto"/>
        <w:textAlignment w:val="auto"/>
        <w:rPr>
          <w:rFonts w:hint="eastAsia" w:ascii="仿宋_GB2312" w:hAnsi="Times New Roman" w:eastAsia="仿宋_GB2312"/>
          <w:color w:val="000000" w:themeColor="text1"/>
          <w:sz w:val="32"/>
          <w:szCs w:val="32"/>
          <w:lang w:val="en-US" w:eastAsia="zh-CN"/>
          <w14:textFill>
            <w14:solidFill>
              <w14:schemeClr w14:val="tx1"/>
            </w14:solidFill>
          </w14:textFill>
        </w:rPr>
      </w:pP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before="156" w:beforeLines="50" w:after="156" w:afterLines="50" w:line="360" w:lineRule="auto"/>
        <w:ind w:firstLine="640" w:firstLineChars="200"/>
        <w:textAlignment w:val="auto"/>
        <w:outlineLvl w:val="2"/>
        <w:rPr>
          <w:rFonts w:hint="eastAsia" w:ascii="仿宋_GB2312" w:hAnsi="Times New Roman" w:eastAsia="仿宋_GB2312"/>
          <w:color w:val="000000" w:themeColor="text1"/>
          <w:sz w:val="32"/>
          <w:szCs w:val="32"/>
          <w:lang w:val="en-US" w:eastAsia="zh-CN"/>
          <w14:textFill>
            <w14:solidFill>
              <w14:schemeClr w14:val="tx1"/>
            </w14:solidFill>
          </w14:textFill>
        </w:rPr>
      </w:pPr>
      <w:bookmarkStart w:id="92" w:name="_Toc3383"/>
      <w:bookmarkStart w:id="93" w:name="_Toc779912099_WPSOffice_Level3"/>
      <w:r>
        <w:rPr>
          <w:rFonts w:hint="eastAsia" w:ascii="仿宋_GB2312" w:hAnsi="Times New Roman" w:eastAsia="仿宋_GB2312"/>
          <w:color w:val="000000" w:themeColor="text1"/>
          <w:sz w:val="32"/>
          <w:szCs w:val="32"/>
          <w:lang w:val="en-US" w:eastAsia="zh-CN"/>
          <w14:textFill>
            <w14:solidFill>
              <w14:schemeClr w14:val="tx1"/>
            </w14:solidFill>
          </w14:textFill>
        </w:rPr>
        <w:t>2.综合防灾减灾方面</w:t>
      </w:r>
      <w:bookmarkEnd w:id="92"/>
      <w:bookmarkEnd w:id="93"/>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before="156" w:beforeLines="50" w:after="156" w:afterLines="50" w:line="360" w:lineRule="auto"/>
        <w:ind w:firstLine="640" w:firstLineChars="200"/>
        <w:textAlignment w:val="auto"/>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到2025年，全市综合防灾减灾救灾能力全面提升，体制机制进一步健全</w:t>
      </w:r>
      <w:bookmarkStart w:id="94" w:name="_Hlk50015663"/>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，有效降低因灾经济损失</w:t>
      </w:r>
      <w:r>
        <w:rPr>
          <w:rFonts w:hint="eastAsia" w:ascii="仿宋_GB2312" w:hAnsi="Times New Roman" w:eastAsia="仿宋_GB2312"/>
          <w:color w:val="000000" w:themeColor="text1"/>
          <w:sz w:val="32"/>
          <w:szCs w:val="32"/>
          <w:lang w:val="en-US" w:eastAsia="zh-CN"/>
          <w14:textFill>
            <w14:solidFill>
              <w14:schemeClr w14:val="tx1"/>
            </w14:solidFill>
          </w14:textFill>
        </w:rPr>
        <w:t>、因灾死亡率和受灾人次。</w:t>
      </w:r>
      <w:bookmarkEnd w:id="94"/>
      <w:r>
        <w:rPr>
          <w:rFonts w:hint="eastAsia" w:ascii="仿宋_GB2312" w:hAnsi="Times New Roman" w:eastAsia="仿宋_GB2312"/>
          <w:color w:val="000000" w:themeColor="text1"/>
          <w:sz w:val="32"/>
          <w:szCs w:val="32"/>
          <w:lang w:val="en-US" w:eastAsia="zh-CN"/>
          <w14:textFill>
            <w14:solidFill>
              <w14:schemeClr w14:val="tx1"/>
            </w14:solidFill>
          </w14:textFill>
        </w:rPr>
        <w:t>建立并完善全市多灾种综合监测预报预警信息发布平台，信息发布的准确性、时效性和社会公众覆盖率显著提高。</w:t>
      </w:r>
      <w:r>
        <w:rPr>
          <w:rFonts w:hint="eastAsia" w:ascii="仿宋_GB2312" w:hAnsi="Times New Roman" w:eastAsia="仿宋_GB2312"/>
          <w:color w:val="auto"/>
          <w:sz w:val="32"/>
          <w:szCs w:val="32"/>
          <w:lang w:val="en-US" w:eastAsia="zh-CN"/>
        </w:rPr>
        <w:t>全面加强</w:t>
      </w:r>
      <w:r>
        <w:rPr>
          <w:rFonts w:hint="eastAsia" w:ascii="仿宋_GB2312" w:hAnsi="Times New Roman" w:eastAsia="仿宋_GB2312"/>
          <w:color w:val="000000" w:themeColor="text1"/>
          <w:sz w:val="32"/>
          <w:szCs w:val="32"/>
          <w:lang w:val="en-US" w:eastAsia="zh-CN"/>
          <w14:textFill>
            <w14:solidFill>
              <w14:schemeClr w14:val="tx1"/>
            </w14:solidFill>
          </w14:textFill>
        </w:rPr>
        <w:t>全</w:t>
      </w:r>
      <w:r>
        <w:rPr>
          <w:rFonts w:hint="eastAsia" w:ascii="仿宋_GB2312" w:hAnsi="Times New Roman" w:eastAsia="仿宋_GB2312"/>
          <w:color w:val="auto"/>
          <w:sz w:val="32"/>
          <w:szCs w:val="32"/>
          <w:lang w:val="en-US" w:eastAsia="zh-CN"/>
        </w:rPr>
        <w:t>市自然灾害救援队伍建设，提高减灾能力和效果。完</w:t>
      </w:r>
      <w:r>
        <w:rPr>
          <w:rFonts w:hint="eastAsia" w:ascii="仿宋_GB2312" w:hAnsi="Times New Roman" w:eastAsia="仿宋_GB2312"/>
          <w:color w:val="000000" w:themeColor="text1"/>
          <w:sz w:val="32"/>
          <w:szCs w:val="32"/>
          <w:lang w:val="en-US" w:eastAsia="zh-CN"/>
          <w14:textFill>
            <w14:solidFill>
              <w14:schemeClr w14:val="tx1"/>
            </w14:solidFill>
          </w14:textFill>
        </w:rPr>
        <w:t>善全市、各区、镇（办事处）三级救灾物资储备体系。完善自然灾害救助政策，达到与全面小康社会相适应的自然灾害救助水平。提高全市重要基础设施和基本公共服务设施的灾害设防水平，特别要有效降低学校、医院等设施因灾造成的损毁程度。加强社区防灾减灾建设，</w:t>
      </w:r>
      <w:bookmarkStart w:id="95" w:name="_Hlk50015757"/>
      <w:r>
        <w:rPr>
          <w:rFonts w:hint="eastAsia" w:ascii="仿宋_GB2312" w:hAnsi="Times New Roman" w:eastAsia="仿宋_GB2312"/>
          <w:color w:val="000000" w:themeColor="text1"/>
          <w:sz w:val="32"/>
          <w:szCs w:val="32"/>
          <w:lang w:val="en-US" w:eastAsia="zh-CN"/>
          <w14:textFill>
            <w14:solidFill>
              <w14:schemeClr w14:val="tx1"/>
            </w14:solidFill>
          </w14:textFill>
        </w:rPr>
        <w:t>确保每个城镇社区有1名以上灾害信息员</w:t>
      </w:r>
      <w:bookmarkEnd w:id="95"/>
      <w:r>
        <w:rPr>
          <w:rFonts w:hint="eastAsia" w:ascii="仿宋_GB2312" w:hAnsi="Times New Roman" w:eastAsia="仿宋_GB2312"/>
          <w:color w:val="000000" w:themeColor="text1"/>
          <w:sz w:val="32"/>
          <w:szCs w:val="32"/>
          <w:lang w:val="en-US" w:eastAsia="zh-CN"/>
          <w14:textFill>
            <w14:solidFill>
              <w14:schemeClr w14:val="tx1"/>
            </w14:solidFill>
          </w14:textFill>
        </w:rPr>
        <w:t>。防灾减灾知识社会公众普及率显著提高，实现在校学生全面普及。防灾减灾救灾科技和教育水平明显提升，防灾减灾救灾社会力量参与水平显著提高，保险等市场机制作用进一步发挥。</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before="156" w:beforeLines="50" w:after="156" w:afterLines="50" w:line="360" w:lineRule="auto"/>
        <w:ind w:firstLine="640" w:firstLineChars="200"/>
        <w:textAlignment w:val="auto"/>
        <w:rPr>
          <w:rFonts w:hint="eastAsia" w:ascii="仿宋_GB2312" w:hAnsi="Times New Roman" w:eastAsia="仿宋_GB2312"/>
          <w:color w:val="000000" w:themeColor="text1"/>
          <w:sz w:val="32"/>
          <w:szCs w:val="32"/>
          <w:lang w:val="en-US" w:eastAsia="zh-CN"/>
          <w14:textFill>
            <w14:solidFill>
              <w14:schemeClr w14:val="tx1"/>
            </w14:solidFill>
          </w14:textFill>
        </w:rPr>
      </w:pPr>
    </w:p>
    <w:p>
      <w:pPr>
        <w:pStyle w:val="2"/>
        <w:ind w:firstLine="640" w:firstLineChars="200"/>
        <w:rPr>
          <w:rFonts w:hint="eastAsia" w:ascii="仿宋_GB2312" w:hAnsi="Times New Roman" w:eastAsia="仿宋_GB2312"/>
          <w:color w:val="000000" w:themeColor="text1"/>
          <w:sz w:val="32"/>
          <w:szCs w:val="32"/>
          <w:lang w:val="en-US" w:eastAsia="zh-CN"/>
          <w14:textFill>
            <w14:solidFill>
              <w14:schemeClr w14:val="tx1"/>
            </w14:solidFill>
          </w14:textFill>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5675"/>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74" w:type="dxa"/>
            <w:gridSpan w:val="3"/>
            <w:shd w:val="clear" w:color="auto" w:fill="FFFFFF"/>
            <w:noWrap w:val="0"/>
            <w:vAlign w:val="top"/>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综合防灾减灾“十四五”规划主要预期目标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0" w:type="dxa"/>
            <w:shd w:val="clear" w:color="auto" w:fill="FFFFFF"/>
            <w:noWrap w:val="0"/>
            <w:vAlign w:val="top"/>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序号</w:t>
            </w:r>
          </w:p>
        </w:tc>
        <w:tc>
          <w:tcPr>
            <w:tcW w:w="5675" w:type="dxa"/>
            <w:shd w:val="clear" w:color="auto" w:fill="FFFFFF"/>
            <w:noWrap w:val="0"/>
            <w:vAlign w:val="top"/>
          </w:tcPr>
          <w:p>
            <w:pPr>
              <w:autoSpaceDE w:val="0"/>
              <w:autoSpaceDN w:val="0"/>
              <w:adjustRightInd w:val="0"/>
              <w:spacing w:line="336" w:lineRule="auto"/>
              <w:jc w:val="center"/>
              <w:rPr>
                <w:rFonts w:hint="eastAsia" w:ascii="Times New Roman" w:hAnsi="Times New Roman" w:eastAsia="仿宋_GB2312" w:cs="Times New Roman"/>
                <w:b/>
                <w:color w:val="000000"/>
                <w:kern w:val="0"/>
                <w:sz w:val="20"/>
                <w:szCs w:val="21"/>
              </w:rPr>
            </w:pPr>
            <w:r>
              <w:rPr>
                <w:rFonts w:hint="eastAsia" w:ascii="Times New Roman" w:hAnsi="Times New Roman" w:eastAsia="仿宋_GB2312" w:cs="Times New Roman"/>
                <w:b/>
                <w:color w:val="000000"/>
                <w:kern w:val="0"/>
                <w:sz w:val="20"/>
                <w:szCs w:val="21"/>
              </w:rPr>
              <w:t>指标名称</w:t>
            </w:r>
          </w:p>
        </w:tc>
        <w:tc>
          <w:tcPr>
            <w:tcW w:w="1689" w:type="dxa"/>
            <w:shd w:val="clear" w:color="auto" w:fill="FFFFFF"/>
            <w:noWrap w:val="0"/>
            <w:vAlign w:val="top"/>
          </w:tcPr>
          <w:p>
            <w:pPr>
              <w:autoSpaceDE w:val="0"/>
              <w:autoSpaceDN w:val="0"/>
              <w:adjustRightInd w:val="0"/>
              <w:spacing w:line="336" w:lineRule="auto"/>
              <w:jc w:val="center"/>
              <w:rPr>
                <w:rFonts w:hint="eastAsia" w:ascii="Times New Roman" w:hAnsi="Times New Roman" w:eastAsia="仿宋_GB2312" w:cs="Times New Roman"/>
                <w:b/>
                <w:color w:val="000000"/>
                <w:kern w:val="0"/>
                <w:sz w:val="20"/>
                <w:szCs w:val="21"/>
              </w:rPr>
            </w:pPr>
            <w:r>
              <w:rPr>
                <w:rFonts w:hint="eastAsia" w:ascii="Times New Roman" w:hAnsi="Times New Roman" w:eastAsia="仿宋_GB2312" w:cs="Times New Roman"/>
                <w:b/>
                <w:color w:val="000000"/>
                <w:kern w:val="0"/>
                <w:sz w:val="2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0" w:type="dxa"/>
            <w:shd w:val="clear" w:color="auto" w:fill="FFFFFF"/>
            <w:noWrap w:val="0"/>
            <w:vAlign w:val="center"/>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1</w:t>
            </w:r>
          </w:p>
        </w:tc>
        <w:tc>
          <w:tcPr>
            <w:tcW w:w="5675"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年均因灾直接经济损失占</w:t>
            </w:r>
            <w:r>
              <w:rPr>
                <w:rFonts w:hint="eastAsia" w:ascii="仿宋_GB2312" w:hAnsi="Times New Roman" w:eastAsia="仿宋_GB2312"/>
                <w:color w:val="000000"/>
                <w:kern w:val="0"/>
                <w:sz w:val="20"/>
                <w:szCs w:val="21"/>
                <w:lang w:eastAsia="zh-CN"/>
              </w:rPr>
              <w:t>乌海市</w:t>
            </w:r>
            <w:r>
              <w:rPr>
                <w:rFonts w:hint="eastAsia" w:ascii="仿宋_GB2312" w:hAnsi="Times New Roman" w:eastAsia="仿宋_GB2312"/>
                <w:color w:val="000000"/>
                <w:kern w:val="0"/>
                <w:sz w:val="20"/>
                <w:szCs w:val="21"/>
              </w:rPr>
              <w:t>国内生产总值比例</w:t>
            </w:r>
          </w:p>
        </w:tc>
        <w:tc>
          <w:tcPr>
            <w:tcW w:w="1689"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lang w:val="en-US" w:eastAsia="zh-CN"/>
              </w:rPr>
              <w:t>不</w:t>
            </w:r>
            <w:r>
              <w:rPr>
                <w:rFonts w:hint="eastAsia" w:ascii="仿宋_GB2312" w:hAnsi="Times New Roman" w:eastAsia="仿宋_GB2312"/>
                <w:color w:val="000000"/>
                <w:kern w:val="0"/>
                <w:sz w:val="20"/>
                <w:szCs w:val="21"/>
              </w:rPr>
              <w:t>超过</w:t>
            </w:r>
            <w:r>
              <w:rPr>
                <w:rFonts w:hint="eastAsia" w:ascii="仿宋_GB2312" w:hAnsi="Times New Roman" w:eastAsia="仿宋_GB2312"/>
                <w:color w:val="000000"/>
                <w:kern w:val="0"/>
                <w:sz w:val="20"/>
                <w:szCs w:val="21"/>
                <w:lang w:val="en-US" w:eastAsia="zh-CN"/>
              </w:rPr>
              <w:t>0.8</w:t>
            </w:r>
            <w:r>
              <w:rPr>
                <w:rFonts w:hint="eastAsia" w:ascii="仿宋_GB2312" w:hAnsi="Times New Roman" w:eastAsia="仿宋_GB2312"/>
                <w:color w:val="000000"/>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10" w:type="dxa"/>
            <w:shd w:val="clear" w:color="auto" w:fill="FFFFFF"/>
            <w:noWrap w:val="0"/>
            <w:vAlign w:val="center"/>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2</w:t>
            </w:r>
          </w:p>
        </w:tc>
        <w:tc>
          <w:tcPr>
            <w:tcW w:w="5675"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年均每百万人口因自然灾害死亡率</w:t>
            </w:r>
          </w:p>
        </w:tc>
        <w:tc>
          <w:tcPr>
            <w:tcW w:w="1689"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不超过</w:t>
            </w:r>
            <w:r>
              <w:rPr>
                <w:rFonts w:hint="eastAsia" w:ascii="仿宋_GB2312" w:hAnsi="Times New Roman" w:eastAsia="仿宋_GB2312"/>
                <w:color w:val="000000"/>
                <w:kern w:val="0"/>
                <w:sz w:val="20"/>
                <w:szCs w:val="21"/>
                <w:lang w:val="en-US" w:eastAsia="zh-CN"/>
              </w:rPr>
              <w:t>0.8</w:t>
            </w:r>
            <w:r>
              <w:rPr>
                <w:rFonts w:hint="eastAsia" w:ascii="仿宋_GB2312" w:hAnsi="Times New Roman" w:eastAsia="仿宋_GB2312"/>
                <w:color w:val="000000"/>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0" w:type="dxa"/>
            <w:shd w:val="clear" w:color="auto" w:fill="FFFFFF"/>
            <w:noWrap w:val="0"/>
            <w:vAlign w:val="center"/>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3</w:t>
            </w:r>
          </w:p>
        </w:tc>
        <w:tc>
          <w:tcPr>
            <w:tcW w:w="5675"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年均每十万人受灾人次</w:t>
            </w:r>
          </w:p>
        </w:tc>
        <w:tc>
          <w:tcPr>
            <w:tcW w:w="1689"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不超过</w:t>
            </w:r>
            <w:r>
              <w:rPr>
                <w:rFonts w:hint="eastAsia" w:ascii="仿宋_GB2312" w:hAnsi="Times New Roman" w:eastAsia="仿宋_GB2312"/>
                <w:color w:val="000000"/>
                <w:kern w:val="0"/>
                <w:sz w:val="20"/>
                <w:szCs w:val="21"/>
                <w:lang w:val="en-US" w:eastAsia="zh-CN"/>
              </w:rPr>
              <w:t>21000</w:t>
            </w:r>
            <w:r>
              <w:rPr>
                <w:rFonts w:hint="eastAsia" w:ascii="仿宋_GB2312" w:hAnsi="Times New Roman" w:eastAsia="仿宋_GB2312"/>
                <w:color w:val="000000"/>
                <w:kern w:val="0"/>
                <w:sz w:val="2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0" w:type="dxa"/>
            <w:shd w:val="clear" w:color="auto" w:fill="FFFFFF"/>
            <w:noWrap w:val="0"/>
            <w:vAlign w:val="center"/>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4</w:t>
            </w:r>
          </w:p>
        </w:tc>
        <w:tc>
          <w:tcPr>
            <w:tcW w:w="5675"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灾害事故信息上报及时率</w:t>
            </w:r>
          </w:p>
        </w:tc>
        <w:tc>
          <w:tcPr>
            <w:tcW w:w="1689" w:type="dxa"/>
            <w:shd w:val="clear" w:color="auto" w:fill="FFFFFF"/>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0" w:type="dxa"/>
            <w:noWrap w:val="0"/>
            <w:vAlign w:val="center"/>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5</w:t>
            </w:r>
          </w:p>
        </w:tc>
        <w:tc>
          <w:tcPr>
            <w:tcW w:w="5675" w:type="dxa"/>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灾害预警信息公众覆盖率</w:t>
            </w:r>
          </w:p>
        </w:tc>
        <w:tc>
          <w:tcPr>
            <w:tcW w:w="1689" w:type="dxa"/>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10" w:type="dxa"/>
            <w:noWrap w:val="0"/>
            <w:vAlign w:val="center"/>
          </w:tcPr>
          <w:p>
            <w:pPr>
              <w:autoSpaceDE w:val="0"/>
              <w:autoSpaceDN w:val="0"/>
              <w:adjustRightInd w:val="0"/>
              <w:spacing w:line="336" w:lineRule="auto"/>
              <w:jc w:val="center"/>
              <w:rPr>
                <w:rFonts w:hint="eastAsia" w:ascii="仿宋_GB2312" w:hAnsi="Times New Roman" w:eastAsia="仿宋_GB2312"/>
                <w:b/>
                <w:color w:val="000000"/>
                <w:kern w:val="0"/>
                <w:sz w:val="20"/>
                <w:szCs w:val="21"/>
              </w:rPr>
            </w:pPr>
            <w:r>
              <w:rPr>
                <w:rFonts w:hint="eastAsia" w:ascii="仿宋_GB2312" w:hAnsi="Times New Roman" w:eastAsia="仿宋_GB2312"/>
                <w:b/>
                <w:color w:val="000000"/>
                <w:kern w:val="0"/>
                <w:sz w:val="20"/>
                <w:szCs w:val="21"/>
              </w:rPr>
              <w:t>6</w:t>
            </w:r>
          </w:p>
        </w:tc>
        <w:tc>
          <w:tcPr>
            <w:tcW w:w="5675" w:type="dxa"/>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受灾人员基本生活得到有效救助</w:t>
            </w:r>
          </w:p>
        </w:tc>
        <w:tc>
          <w:tcPr>
            <w:tcW w:w="1689" w:type="dxa"/>
            <w:noWrap w:val="0"/>
            <w:vAlign w:val="center"/>
          </w:tcPr>
          <w:p>
            <w:pPr>
              <w:autoSpaceDE w:val="0"/>
              <w:autoSpaceDN w:val="0"/>
              <w:adjustRightInd w:val="0"/>
              <w:spacing w:line="336" w:lineRule="auto"/>
              <w:rPr>
                <w:rFonts w:hint="eastAsia" w:ascii="仿宋_GB2312" w:hAnsi="Times New Roman" w:eastAsia="仿宋_GB2312"/>
                <w:color w:val="000000"/>
                <w:kern w:val="0"/>
                <w:sz w:val="20"/>
                <w:szCs w:val="21"/>
              </w:rPr>
            </w:pPr>
            <w:r>
              <w:rPr>
                <w:rFonts w:hint="eastAsia" w:ascii="仿宋_GB2312" w:hAnsi="Times New Roman" w:eastAsia="仿宋_GB2312"/>
                <w:color w:val="000000"/>
                <w:kern w:val="0"/>
                <w:sz w:val="20"/>
                <w:szCs w:val="21"/>
              </w:rPr>
              <w:t>不超过10小时</w:t>
            </w:r>
          </w:p>
        </w:tc>
      </w:tr>
    </w:tbl>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before="156" w:beforeLines="50" w:after="156" w:afterLines="50" w:line="360" w:lineRule="auto"/>
        <w:ind w:firstLine="640" w:firstLineChars="200"/>
        <w:textAlignment w:val="auto"/>
        <w:outlineLvl w:val="2"/>
        <w:rPr>
          <w:rFonts w:hint="eastAsia" w:ascii="仿宋_GB2312" w:hAnsi="Times New Roman" w:eastAsia="仿宋_GB2312"/>
          <w:color w:val="000000" w:themeColor="text1"/>
          <w:sz w:val="32"/>
          <w:szCs w:val="32"/>
          <w:lang w:val="en-US" w:eastAsia="zh-CN"/>
          <w14:textFill>
            <w14:solidFill>
              <w14:schemeClr w14:val="tx1"/>
            </w14:solidFill>
          </w14:textFill>
        </w:rPr>
      </w:pPr>
      <w:bookmarkStart w:id="96" w:name="_Toc925968195_WPSOffice_Level3"/>
      <w:bookmarkStart w:id="97" w:name="_Toc5789"/>
      <w:r>
        <w:rPr>
          <w:rFonts w:hint="eastAsia" w:ascii="仿宋_GB2312" w:hAnsi="Times New Roman" w:eastAsia="仿宋_GB2312"/>
          <w:color w:val="000000" w:themeColor="text1"/>
          <w:sz w:val="32"/>
          <w:szCs w:val="32"/>
          <w:lang w:val="en-US" w:eastAsia="zh-CN"/>
          <w14:textFill>
            <w14:solidFill>
              <w14:schemeClr w14:val="tx1"/>
            </w14:solidFill>
          </w14:textFill>
        </w:rPr>
        <w:t>3.应急体系建设方面</w:t>
      </w:r>
      <w:bookmarkEnd w:id="96"/>
      <w:bookmarkEnd w:id="97"/>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（1）建设目标</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按照全面建成小康社会、推进社会主义现代化建设的总目标，着眼构建保障人民安居乐业、社会安定有序的全方位立体化公共安全网，到2025年，基本形成统一领导、权责一致、权威高效的应急管理体系。组建组织领导有力、指挥应对科学、救援能力较强、物资保障充分、灾害救助及时、联防联控有序、上下衔接顺畅、符合我市实际的应急管理格局。增强全市应急管理的系统性、整体性、协同性，提升应急响应、指挥、处置能力和基层基础保障能力。到2035年，建立与基本实现现代化相适应的应急体系。有效管控重大安全风险，较大以上事故明显减少，进一步提高自然灾害防治能力，确保应急管理体系、管理能力现代化建设跃上新台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（2）规划分类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----各类灾害事故起数和死亡人数持续下降，相比</w:t>
      </w:r>
      <w:r>
        <w:rPr>
          <w:rFonts w:hint="eastAsia" w:ascii="仿宋_GB2312" w:hAnsi="Times New Roman" w:eastAsia="仿宋_GB2312" w:cs="Times New Roman"/>
          <w:color w:val="auto"/>
          <w:kern w:val="2"/>
          <w:sz w:val="32"/>
          <w:szCs w:val="32"/>
          <w:lang w:val="en-US" w:eastAsia="zh-CN" w:bidi="ar-SA"/>
        </w:rPr>
        <w:t>“十三五”期间</w:t>
      </w:r>
      <w:r>
        <w:rPr>
          <w:rFonts w:hint="eastAsia" w:ascii="仿宋_GB2312" w:hAnsi="Times New Roman" w:eastAsia="仿宋_GB2312" w:cstheme="minorBidi"/>
          <w:color w:val="auto"/>
          <w:kern w:val="2"/>
          <w:sz w:val="32"/>
          <w:szCs w:val="32"/>
          <w:lang w:val="en-US" w:eastAsia="zh-CN" w:bidi="ar-SA"/>
        </w:rPr>
        <w:t>下降幅度15%以上。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----专业救援力量队伍建设、重点企事业单位应急力量建设，社会应急辅助力量建设取得明显成效，全市应急救援能力不断提高。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----应急物资保障、科技支撑能力、社会共建共享共治格局、全民安全素养等应急水平持续提升，灾害事故防控能力有明显提升。</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default"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0"/>
      </w:pPr>
    </w:p>
    <w:p>
      <w:pPr>
        <w:numPr>
          <w:ilvl w:val="0"/>
          <w:numId w:val="0"/>
        </w:num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0"/>
        <w:numPr>
          <w:ilvl w:val="0"/>
          <w:numId w:val="0"/>
        </w:numPr>
        <w:ind w:leftChars="0"/>
        <w:jc w:val="both"/>
        <w:rPr>
          <w:rFonts w:hint="eastAsia" w:ascii="黑体" w:eastAsia="黑体"/>
          <w:lang w:val="en-US" w:eastAsia="zh-CN"/>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both"/>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b/>
          <w:bCs/>
        </w:rPr>
      </w:pPr>
      <w:bookmarkStart w:id="98" w:name="_Toc6906"/>
      <w:bookmarkStart w:id="99" w:name="_Toc231030841_WPSOffice_Level1"/>
      <w:bookmarkStart w:id="100" w:name="_Toc779912099_WPSOffice_Level1"/>
      <w:r>
        <w:rPr>
          <w:rFonts w:hint="eastAsia" w:ascii="黑体" w:eastAsia="黑体" w:hAnsiTheme="minorHAnsi" w:cstheme="minorBidi"/>
          <w:b/>
          <w:bCs/>
          <w:color w:val="000000"/>
          <w:kern w:val="2"/>
          <w:sz w:val="32"/>
          <w:szCs w:val="32"/>
          <w:lang w:val="en-US" w:eastAsia="zh-CN" w:bidi="ar-SA"/>
        </w:rPr>
        <w:t>第三章</w:t>
      </w:r>
      <w:r>
        <w:rPr>
          <w:rFonts w:hint="eastAsia" w:ascii="黑体" w:eastAsia="黑体" w:cstheme="minorBidi"/>
          <w:b/>
          <w:bCs/>
          <w:color w:val="000000"/>
          <w:kern w:val="2"/>
          <w:sz w:val="32"/>
          <w:szCs w:val="32"/>
          <w:lang w:val="en-US" w:eastAsia="zh-CN" w:bidi="ar-SA"/>
        </w:rPr>
        <w:t xml:space="preserve"> </w:t>
      </w:r>
      <w:r>
        <w:rPr>
          <w:rFonts w:hint="eastAsia" w:ascii="黑体" w:eastAsia="黑体" w:hAnsiTheme="minorHAnsi" w:cstheme="minorBidi"/>
          <w:b/>
          <w:bCs/>
          <w:color w:val="000000"/>
          <w:kern w:val="2"/>
          <w:sz w:val="32"/>
          <w:szCs w:val="32"/>
          <w:lang w:val="en-US" w:eastAsia="zh-CN" w:bidi="ar-SA"/>
        </w:rPr>
        <w:t>深化应急管理体制机制改革</w:t>
      </w:r>
      <w:bookmarkEnd w:id="98"/>
      <w:bookmarkEnd w:id="99"/>
      <w:bookmarkEnd w:id="100"/>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01" w:name="_Toc1231401070_WPSOffice_Level2"/>
      <w:bookmarkStart w:id="102" w:name="_Toc27685"/>
      <w:bookmarkStart w:id="103" w:name="_Toc1296714636_WPSOffice_Level2"/>
      <w:r>
        <w:t>（一）健全领导指挥体制</w:t>
      </w:r>
      <w:bookmarkEnd w:id="101"/>
      <w:bookmarkEnd w:id="102"/>
      <w:bookmarkEnd w:id="103"/>
    </w:p>
    <w:p>
      <w:pPr>
        <w:pStyle w:val="2"/>
        <w:spacing w:before="168"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按照常态应急与非常态应急相结合，建立市、区二级应急指挥部，形成上下联动的应急指挥体系。进一步完善全市应急管理体制，推动各级政府成立应急管理委员会，负责领导指挥和组织协调本级政府自然灾害和事故灾难综合预防管理和应急处置工作。坚持分级负责、属地管理为主的原则，明确各级各类灾害事故响应程序，进一步理顺防汛抗早、森林草原防灭火、抗震救灾等指挥机制。建立消防救援队伍和森林消防队伍地方分级指挥和队伍专业指挥相结合的指挥体制。推进市、区安委办实体化运作，明确各级安委办内部机构设置、人员编制和运行规则，更加充分发挥安委会统筹协调作用。</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04" w:name="_Toc24078"/>
      <w:bookmarkStart w:id="105" w:name="_Toc777863262_WPSOffice_Level2"/>
      <w:bookmarkStart w:id="106" w:name="_Toc1888118068_WPSOffice_Level2"/>
      <w:r>
        <w:rPr>
          <w:rFonts w:hint="eastAsia"/>
          <w:lang w:val="en-US" w:eastAsia="zh-CN"/>
        </w:rPr>
        <w:t>（二）</w:t>
      </w:r>
      <w:r>
        <w:t>完善监管监察体制</w:t>
      </w:r>
      <w:bookmarkEnd w:id="104"/>
      <w:bookmarkEnd w:id="105"/>
      <w:bookmarkEnd w:id="106"/>
    </w:p>
    <w:p>
      <w:pPr>
        <w:pStyle w:val="2"/>
        <w:spacing w:before="168"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深化应急管理综合行政执法改革，整合监管执法职责，组建综合行政执法队伍，推动执法力量向基层和一线倾斜，健全监管监察人员持证上岗和资格管理制度。落实防震减灾、防汛抗旱、森林草原防灭火等领域的综合行政执法事项。进一步明确各级有关部门安全生产工作职责，依法依规完善负有安全生产监管职责的部门安全生产权力和责任清单，优化监管职责部门安全生产责任分工。强化负有安全生产监管职责的部门机构建设，完善执法装备配备标准，强化执法工作条件保障。优化安全监管力量配置，进一步加强基层安全生产网格化监管，推动安全监管服务向社区、街道延伸。合理区分综合监管和行业监管部门之间的职责边界，扫清职责划分盲区。建立新产业、新业态监管职责动态调整机制，填补行业领域安全监管职责空白。</w:t>
      </w:r>
    </w:p>
    <w:p>
      <w:pPr>
        <w:pStyle w:val="4"/>
        <w:keepNext w:val="0"/>
        <w:keepLines w:val="0"/>
        <w:pageBreakBefore w:val="0"/>
        <w:widowControl w:val="0"/>
        <w:numPr>
          <w:ilvl w:val="0"/>
          <w:numId w:val="3"/>
        </w:numPr>
        <w:kinsoku/>
        <w:wordWrap/>
        <w:overflowPunct/>
        <w:topLinePunct w:val="0"/>
        <w:autoSpaceDE/>
        <w:autoSpaceDN/>
        <w:bidi w:val="0"/>
        <w:adjustRightInd/>
        <w:snapToGrid/>
        <w:spacing w:before="17" w:line="360" w:lineRule="auto"/>
        <w:ind w:left="0" w:leftChars="0" w:firstLine="642" w:firstLineChars="200"/>
        <w:textAlignment w:val="auto"/>
        <w:outlineLvl w:val="1"/>
      </w:pPr>
      <w:bookmarkStart w:id="107" w:name="_Toc32894222_WPSOffice_Level2"/>
      <w:bookmarkStart w:id="108" w:name="_Toc6023"/>
      <w:bookmarkStart w:id="109" w:name="_Toc804184084_WPSOffice_Level2"/>
      <w:r>
        <w:t>优化应急协同机制</w:t>
      </w:r>
      <w:bookmarkEnd w:id="107"/>
      <w:bookmarkEnd w:id="108"/>
      <w:bookmarkEnd w:id="109"/>
    </w:p>
    <w:p>
      <w:pPr>
        <w:pStyle w:val="2"/>
        <w:spacing w:before="168"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强化部门协同。健全完善市、区二级相关议事协调机构的议事规则及其办公室工作细则、运行机制，充分发挥相关议事协调机构的统筹推动作用、应急管理部门综合优势和各相关部门专业优势，明确各部门在事故预防、灾害防治、抢险救援、物资保障恢复重建、维护稳定等方面的工作职责。健全重大安全风险防范化解协同机制及灾害事故处置应对协助机制。建立健全自然灾害综合监测预警信息共享机制，明确各自职责，丰富共享方式，提高信息共享质量。完善事故灾害预警和分级响应机制，统筹协调应急力量应急处置。建立健全应急联动机制，加强预案联动、信息联动、队伍联动、物资联动。</w:t>
      </w:r>
    </w:p>
    <w:p>
      <w:pPr>
        <w:pStyle w:val="4"/>
        <w:keepNext w:val="0"/>
        <w:keepLines w:val="0"/>
        <w:pageBreakBefore w:val="0"/>
        <w:widowControl w:val="0"/>
        <w:kinsoku/>
        <w:wordWrap/>
        <w:overflowPunct/>
        <w:topLinePunct w:val="0"/>
        <w:autoSpaceDE/>
        <w:autoSpaceDN/>
        <w:bidi w:val="0"/>
        <w:adjustRightInd/>
        <w:snapToGrid/>
        <w:spacing w:before="10"/>
        <w:ind w:left="0" w:leftChars="0" w:firstLine="642" w:firstLineChars="200"/>
        <w:textAlignment w:val="auto"/>
        <w:outlineLvl w:val="1"/>
      </w:pPr>
      <w:bookmarkStart w:id="110" w:name="_Toc516981496_WPSOffice_Level2"/>
      <w:bookmarkStart w:id="111" w:name="_Toc992054018_WPSOffice_Level2"/>
      <w:bookmarkStart w:id="112" w:name="_Toc16173"/>
      <w:r>
        <w:t>（四）压实应急管理责任</w:t>
      </w:r>
      <w:bookmarkEnd w:id="110"/>
      <w:bookmarkEnd w:id="111"/>
      <w:bookmarkEnd w:id="112"/>
    </w:p>
    <w:p>
      <w:pPr>
        <w:pStyle w:val="2"/>
        <w:spacing w:before="168"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压实党政领导责任。严格落实《内蒙古内蒙古自治区安全生产“党政同责、一岗双责”暂行办法》《内蒙古内蒙古自治区党政领导干部安全生产责任制实施细则》，将安全生产纳入市、区党委常委会议事日程，纳入政府重点工作和政府工作报告。完善地区、行业监管部门落实监管责任考核问责机制，落实市、区的属地监管责任。健全安全生产工作市级领导定点联系区、区级领导定点联系街道的工作机制，督促指导属地责任落实。强化区、街道党委政府领导干部安全生产红线意识，优化完善区、街道党政领导干部安全生产职责清单和工作任务清单制度。建立区、街道党政领导干部安全生产任前教育、谈话提醒制度。严格落实区、街道党政领导安全生产工作述职和“第一责任人”履职报告制度。</w:t>
      </w:r>
    </w:p>
    <w:p>
      <w:pPr>
        <w:spacing w:line="560" w:lineRule="exact"/>
        <w:ind w:firstLine="640" w:firstLineChars="20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强化企业主体责任。严格落实《内蒙古内蒙古自治区落实生产经营单位安全生产主体责任规定》《乌海市安全生产专项整治三年行动实施方案》，健全全员安全生产责任制，逐级落实安全生产目标管理责任，推动形成以落实企业主要负责人安全责任为重点的企业安全生产主体责任体系。严格落实生产经营单位主要负责人安全生产第一责任人责任，推动董事长、党组织书记、总经理共同领导本单位安全生产工作，其他负责人对职责范围内的安全生产工作负责。完善安全生产管理体系，健全企业生产经营全过程安全责任追溯制度。依法设立安全生产管理机构，配齐配强安全生产管理人员。加强对企业安全生产费用提取使用情况监督，将企业安全投入执行情况纳入日常监督检查范围。完善安全生产责任追究与刑事司法衔接机制，严肃追究对事故相关单位和人员的法律责任。建立安全生产违法行为信息库，对存在失信行为的生产经营单位及其有关从业人员采取加大执法检查频次、暂停项目审批、上调有关保险费率、行业或者职业禁入等联合惩戒措施，倒逼企业建立自我约束、持续改进的安全生产内生机制。</w:t>
      </w:r>
    </w:p>
    <w:p>
      <w:pPr>
        <w:spacing w:line="560" w:lineRule="exact"/>
        <w:ind w:firstLine="640" w:firstLineChars="20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严肃目标责任考核。加大安全生产在市、区高质量发展年度考核指标权重。完善市级安委会成员单位安全生产考核制度。开展常态化安全生产督查巡查，根据发现问题情况进行通报，压实监管责任。健全安全生产约谈制度，视情况组织相关层面的约谈。建立事故查处、责任追究和整改措施落实情况的检查报告制度，加强对事故查处和责任追究落实情况的跟踪评估。</w:t>
      </w:r>
    </w:p>
    <w:p>
      <w:pPr>
        <w:pStyle w:val="20"/>
        <w:rPr>
          <w:rFonts w:hint="eastAsia"/>
          <w:lang w:val="en-US" w:eastAsia="zh-CN"/>
        </w:rPr>
      </w:pPr>
    </w:p>
    <w:p>
      <w:pPr>
        <w:pStyle w:val="20"/>
        <w:rPr>
          <w:rFonts w:hint="eastAsia"/>
          <w:lang w:val="en-US" w:eastAsia="zh-CN"/>
        </w:rPr>
      </w:pPr>
    </w:p>
    <w:p>
      <w:pPr>
        <w:pStyle w:val="20"/>
        <w:ind w:left="0" w:leftChars="0" w:firstLine="0" w:firstLineChars="0"/>
        <w:rPr>
          <w:rFonts w:hint="eastAsia"/>
          <w:lang w:val="en-US" w:eastAsia="zh-CN"/>
        </w:rPr>
      </w:pPr>
    </w:p>
    <w:p>
      <w:pPr>
        <w:pStyle w:val="20"/>
        <w:rPr>
          <w:rFonts w:hint="eastAsia"/>
          <w:lang w:val="en-US" w:eastAsia="zh-CN"/>
        </w:rPr>
      </w:pPr>
    </w:p>
    <w:p>
      <w:pPr>
        <w:pStyle w:val="20"/>
        <w:ind w:left="0" w:leftChars="0" w:firstLine="0" w:firstLineChars="0"/>
        <w:rPr>
          <w:rFonts w:hint="eastAsia"/>
          <w:lang w:val="en-US" w:eastAsia="zh-CN"/>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both"/>
        <w:outlineLvl w:val="0"/>
        <w:rPr>
          <w:rFonts w:hint="eastAsia" w:ascii="黑体" w:eastAsia="黑体" w:hAnsiTheme="minorHAnsi" w:cstheme="minorBidi"/>
          <w:color w:val="000000"/>
          <w:kern w:val="2"/>
          <w:sz w:val="32"/>
          <w:szCs w:val="32"/>
          <w:lang w:val="en-US" w:eastAsia="zh-CN" w:bidi="ar-SA"/>
        </w:rPr>
      </w:pPr>
      <w:bookmarkStart w:id="113" w:name="_Toc1783"/>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b/>
          <w:bCs/>
          <w:color w:val="000000"/>
          <w:kern w:val="2"/>
          <w:sz w:val="32"/>
          <w:szCs w:val="32"/>
          <w:lang w:val="en-US" w:eastAsia="zh-CN" w:bidi="ar-SA"/>
        </w:rPr>
      </w:pPr>
      <w:bookmarkStart w:id="114" w:name="_Toc833330308_WPSOffice_Level1"/>
    </w:p>
    <w:p>
      <w:pPr>
        <w:pStyle w:val="2"/>
        <w:tabs>
          <w:tab w:val="left" w:pos="1279"/>
        </w:tabs>
        <w:ind w:left="0" w:right="138"/>
        <w:jc w:val="center"/>
        <w:outlineLvl w:val="0"/>
        <w:rPr>
          <w:rFonts w:hint="eastAsia" w:ascii="黑体" w:eastAsia="黑体" w:hAnsiTheme="minorHAnsi" w:cstheme="minorBidi"/>
          <w:b/>
          <w:bCs/>
          <w:color w:val="000000"/>
          <w:kern w:val="2"/>
          <w:sz w:val="32"/>
          <w:szCs w:val="32"/>
          <w:lang w:val="en-US" w:eastAsia="zh-CN" w:bidi="ar-SA"/>
        </w:rPr>
      </w:pPr>
      <w:bookmarkStart w:id="115" w:name="_Toc925968195_WPSOffice_Level1"/>
      <w:r>
        <w:rPr>
          <w:rFonts w:hint="eastAsia" w:ascii="黑体" w:eastAsia="黑体" w:hAnsiTheme="minorHAnsi" w:cstheme="minorBidi"/>
          <w:b/>
          <w:bCs/>
          <w:color w:val="000000"/>
          <w:kern w:val="2"/>
          <w:sz w:val="32"/>
          <w:szCs w:val="32"/>
          <w:lang w:val="en-US" w:eastAsia="zh-CN" w:bidi="ar-SA"/>
        </w:rPr>
        <w:t>第四章</w:t>
      </w:r>
      <w:r>
        <w:rPr>
          <w:rFonts w:hint="eastAsia" w:ascii="黑体" w:eastAsia="黑体" w:cstheme="minorBidi"/>
          <w:b/>
          <w:bCs/>
          <w:color w:val="000000"/>
          <w:kern w:val="2"/>
          <w:sz w:val="32"/>
          <w:szCs w:val="32"/>
          <w:lang w:val="en-US" w:eastAsia="zh-CN" w:bidi="ar-SA"/>
        </w:rPr>
        <w:t xml:space="preserve"> </w:t>
      </w:r>
      <w:r>
        <w:rPr>
          <w:rFonts w:hint="eastAsia" w:ascii="黑体" w:eastAsia="黑体" w:hAnsiTheme="minorHAnsi" w:cstheme="minorBidi"/>
          <w:b/>
          <w:bCs/>
          <w:color w:val="000000"/>
          <w:kern w:val="2"/>
          <w:sz w:val="32"/>
          <w:szCs w:val="32"/>
          <w:lang w:val="en-US" w:eastAsia="zh-CN" w:bidi="ar-SA"/>
        </w:rPr>
        <w:t>推进应急法治体系建设</w:t>
      </w:r>
      <w:bookmarkEnd w:id="113"/>
      <w:bookmarkEnd w:id="114"/>
      <w:bookmarkEnd w:id="115"/>
    </w:p>
    <w:p>
      <w:pPr>
        <w:pStyle w:val="4"/>
        <w:keepNext w:val="0"/>
        <w:keepLines w:val="0"/>
        <w:pageBreakBefore w:val="0"/>
        <w:widowControl w:val="0"/>
        <w:kinsoku/>
        <w:wordWrap/>
        <w:overflowPunct/>
        <w:topLinePunct w:val="0"/>
        <w:autoSpaceDE/>
        <w:autoSpaceDN/>
        <w:bidi w:val="0"/>
        <w:ind w:left="0" w:leftChars="0" w:firstLine="642" w:firstLineChars="200"/>
        <w:jc w:val="both"/>
        <w:textAlignment w:val="auto"/>
        <w:outlineLvl w:val="1"/>
      </w:pPr>
      <w:bookmarkStart w:id="116" w:name="_Toc615842126_WPSOffice_Level2"/>
      <w:bookmarkStart w:id="117" w:name="_Toc1489951469_WPSOffice_Level2"/>
      <w:bookmarkStart w:id="118" w:name="_Toc667"/>
      <w:r>
        <w:t>（一）推进依法行政决策</w:t>
      </w:r>
      <w:bookmarkEnd w:id="116"/>
      <w:bookmarkEnd w:id="117"/>
      <w:bookmarkEnd w:id="118"/>
    </w:p>
    <w:p>
      <w:pPr>
        <w:spacing w:line="560" w:lineRule="exact"/>
        <w:ind w:firstLine="640" w:firstLineChars="20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分类管理一般行政决策和重大行政决策，完善法定程 序和配套制度，健全重大决策终身责任追究和责任倒查机 制。定期制定和更新决策事项目录和标准，依法向社会公布。建立依法应急决策制度，规范启动条件、实施方式、尽职免责等内容。深化应急管理领域“放管服”，加强事中事后监管，积极营造有利于各类投资主体公平有序竞争的市场环境。严格安全生产执法，建立常态化普法教育机制，开展丰富多样的普法活动。落实“谁执法谁普法”的普法责任制，加大典型案例的普法宣传。</w:t>
      </w:r>
    </w:p>
    <w:p>
      <w:pPr>
        <w:pStyle w:val="4"/>
        <w:keepNext w:val="0"/>
        <w:keepLines w:val="0"/>
        <w:pageBreakBefore w:val="0"/>
        <w:widowControl w:val="0"/>
        <w:kinsoku/>
        <w:wordWrap/>
        <w:overflowPunct/>
        <w:topLinePunct w:val="0"/>
        <w:autoSpaceDE/>
        <w:autoSpaceDN/>
        <w:bidi w:val="0"/>
        <w:ind w:left="0" w:leftChars="0" w:firstLine="642" w:firstLineChars="200"/>
        <w:jc w:val="both"/>
        <w:textAlignment w:val="auto"/>
        <w:outlineLvl w:val="1"/>
      </w:pPr>
      <w:bookmarkStart w:id="119" w:name="_Toc1092051146_WPSOffice_Level2"/>
      <w:bookmarkStart w:id="120" w:name="_Toc1287477558_WPSOffice_Level2"/>
      <w:bookmarkStart w:id="121" w:name="_Toc10520"/>
      <w:r>
        <w:t>（二）</w:t>
      </w:r>
      <w:r>
        <w:rPr>
          <w:rFonts w:hint="eastAsia"/>
        </w:rPr>
        <w:t>强化安全生产执法</w:t>
      </w:r>
      <w:bookmarkEnd w:id="119"/>
      <w:bookmarkEnd w:id="120"/>
      <w:bookmarkEnd w:id="121"/>
    </w:p>
    <w:p>
      <w:pPr>
        <w:spacing w:line="560" w:lineRule="exact"/>
        <w:ind w:firstLine="640" w:firstLineChars="20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构建监管长效机制。全面贯彻实施新修订的《安全生产法》，积极开展安全生产地方性法规和政府规章立法调研与论证工作。推行“三位一体执法模式”，明确生产经营单位安全生产监管主体，按照分类分级监督管理的要求，制定安全生产年度监督检查计划，落实各项监管措施。加大危险化 学品、矿山、建筑施工、交通运输等重点行业领域安全生产执法力度，持续推进“互联网+执法”。</w:t>
      </w:r>
      <w:r>
        <w:rPr>
          <w:rFonts w:hint="eastAsia" w:ascii="仿宋_GB2312" w:eastAsia="仿宋_GB2312"/>
          <w:sz w:val="32"/>
          <w:szCs w:val="32"/>
        </w:rPr>
        <w:t>发挥协同监管平台、企业信用查询平台、“黑名单”不良记录等作用，推进部门间执法数据共建共享共用。实施市政府对典型事故提级调查，对事故结案后防范整改措施落实情况跟踪督办并对整改效果进行评估。</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全面推行行政执法公示、执法全过程记录、重大执法决定法制审核三项制度，强化执法全过程监督。建立行政执法行为审议制度和重大行政执法决策机制，依法规范执法程序和自由裁量权，评估执法效果，防止滥用职权。</w:t>
      </w:r>
    </w:p>
    <w:p>
      <w:pPr>
        <w:pStyle w:val="4"/>
        <w:keepNext w:val="0"/>
        <w:keepLines w:val="0"/>
        <w:pageBreakBefore w:val="0"/>
        <w:widowControl w:val="0"/>
        <w:kinsoku/>
        <w:wordWrap/>
        <w:overflowPunct/>
        <w:topLinePunct w:val="0"/>
        <w:autoSpaceDE/>
        <w:autoSpaceDN/>
        <w:bidi w:val="0"/>
        <w:ind w:left="0" w:leftChars="0" w:firstLine="642" w:firstLineChars="200"/>
        <w:jc w:val="both"/>
        <w:textAlignment w:val="auto"/>
        <w:outlineLvl w:val="1"/>
      </w:pPr>
      <w:bookmarkStart w:id="122" w:name="_Toc29203"/>
      <w:bookmarkStart w:id="123" w:name="_Toc1557405330_WPSOffice_Level2"/>
      <w:bookmarkStart w:id="124" w:name="_Toc539440355_WPSOffice_Level2"/>
      <w:r>
        <w:t>（</w:t>
      </w:r>
      <w:r>
        <w:rPr>
          <w:rFonts w:hint="eastAsia"/>
          <w:lang w:val="en-US" w:eastAsia="zh-CN"/>
        </w:rPr>
        <w:t>三</w:t>
      </w:r>
      <w:r>
        <w:t>）推进应急标准建设</w:t>
      </w:r>
      <w:bookmarkEnd w:id="122"/>
      <w:bookmarkEnd w:id="123"/>
      <w:bookmarkEnd w:id="124"/>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贯彻落实国家有关标准化法律法规，实施应急管理标 准提升行动计划，建立健全全市应急管理标准化工作体系，加强基层安全监管机构的执法工作保障条件建设，建设和完善业务保障用房和特殊业务用房。更新补充监管执法专业装备，配备一体化、实用性强的执法装备和智能移动执法终端，合理保障安全监管机构执法基本装备、执法取证装备、快检装备配备和基础设施建设需要。调整、补充、更新各级安全监管部门及所属执法机构执法车辆配备的类型和数量。推动企业标准化与企业安全生产治理体系深度融合，鼓励有条件的大型企业制定新产品、新材料、新工艺企业安全技术标准，推动企业依据安全生产标准制定完善作业规程和岗位安全操作规程。推动灾害监测预报预警、风险调查评估、灾害信息共享、应急物资保障、灾后恢复重建等领域技术标准制修订工作，加强技术标准的应用实施和宣传培训。</w:t>
      </w: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
        <w:spacing w:before="171" w:line="338" w:lineRule="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
        <w:spacing w:before="171" w:line="338" w:lineRule="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
        <w:spacing w:before="171" w:line="338" w:lineRule="auto"/>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p>
      <w:pPr>
        <w:pStyle w:val="2"/>
        <w:numPr>
          <w:ilvl w:val="0"/>
          <w:numId w:val="0"/>
        </w:numPr>
        <w:tabs>
          <w:tab w:val="left" w:pos="1279"/>
        </w:tabs>
        <w:ind w:right="138" w:rightChars="0"/>
        <w:jc w:val="both"/>
        <w:outlineLvl w:val="0"/>
        <w:rPr>
          <w:rFonts w:hint="eastAsia" w:ascii="黑体" w:eastAsia="黑体" w:hAnsiTheme="minorHAnsi" w:cstheme="minorBidi"/>
          <w:color w:val="000000"/>
          <w:kern w:val="2"/>
          <w:sz w:val="32"/>
          <w:szCs w:val="32"/>
          <w:lang w:val="en-US" w:eastAsia="zh-CN" w:bidi="ar-SA"/>
        </w:rPr>
      </w:pPr>
      <w:bookmarkStart w:id="125" w:name="_Toc1983"/>
      <w:bookmarkStart w:id="126" w:name="_Toc1740248008_WPSOffice_Level1"/>
    </w:p>
    <w:p>
      <w:pPr>
        <w:pStyle w:val="2"/>
        <w:numPr>
          <w:ilvl w:val="0"/>
          <w:numId w:val="0"/>
        </w:numPr>
        <w:tabs>
          <w:tab w:val="left" w:pos="1279"/>
        </w:tabs>
        <w:ind w:right="138" w:rightChars="0"/>
        <w:jc w:val="center"/>
        <w:outlineLvl w:val="0"/>
        <w:rPr>
          <w:rFonts w:hint="eastAsia" w:ascii="黑体" w:eastAsia="黑体" w:hAnsiTheme="minorHAnsi" w:cstheme="minorBidi"/>
          <w:b/>
          <w:bCs/>
          <w:color w:val="000000"/>
          <w:kern w:val="2"/>
          <w:sz w:val="32"/>
          <w:szCs w:val="32"/>
          <w:lang w:val="en-US" w:eastAsia="zh-CN" w:bidi="ar-SA"/>
        </w:rPr>
      </w:pPr>
      <w:bookmarkStart w:id="127" w:name="_Toc1864914550_WPSOffice_Level1"/>
      <w:r>
        <w:rPr>
          <w:rFonts w:hint="eastAsia" w:ascii="黑体" w:eastAsia="黑体" w:cstheme="minorBidi"/>
          <w:b/>
          <w:bCs/>
          <w:color w:val="000000"/>
          <w:kern w:val="2"/>
          <w:sz w:val="32"/>
          <w:szCs w:val="32"/>
          <w:lang w:val="en-US" w:eastAsia="zh-CN" w:bidi="ar-SA"/>
        </w:rPr>
        <w:t xml:space="preserve">第五章 </w:t>
      </w:r>
      <w:r>
        <w:rPr>
          <w:rFonts w:hint="eastAsia" w:ascii="黑体" w:eastAsia="黑体" w:hAnsiTheme="minorHAnsi" w:cstheme="minorBidi"/>
          <w:b/>
          <w:bCs/>
          <w:color w:val="000000"/>
          <w:kern w:val="2"/>
          <w:sz w:val="32"/>
          <w:szCs w:val="32"/>
          <w:lang w:val="en-US" w:eastAsia="zh-CN" w:bidi="ar-SA"/>
        </w:rPr>
        <w:t>推进风险防控体系建设</w:t>
      </w:r>
      <w:bookmarkEnd w:id="125"/>
      <w:bookmarkEnd w:id="126"/>
      <w:bookmarkEnd w:id="127"/>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28" w:name="（一）健全灾害风险分级分类管理体系"/>
      <w:bookmarkEnd w:id="128"/>
      <w:bookmarkStart w:id="129" w:name="_Toc17168"/>
      <w:bookmarkStart w:id="130" w:name="_Toc849346951_WPSOffice_Level2"/>
      <w:bookmarkStart w:id="131" w:name="_Toc1599492504_WPSOffice_Level2"/>
      <w:r>
        <w:t>（一）健全灾害风险分级分类管理体系</w:t>
      </w:r>
      <w:bookmarkEnd w:id="129"/>
      <w:bookmarkEnd w:id="130"/>
      <w:bookmarkEnd w:id="131"/>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落实灾害风险防控责任，建立健全灾害风险管理和隐患排查治理责任制。政府各部门要在各自的职责范围内对有关行业、领域的安全生产工作实施监督管理，定期组织开展灾害风险排查整治活动，实施灾害风险调查和重点隐患排查工程。依据自然灾害风险评估标准规范，做好风险隐患排查、风险评估和整改，健全重大危险源监控体系，建立重大风险隐患数据库，实现各类重大风险和隐患全过程动态管理，积极推进社区、企业、工业园区灾害风险管控标准化建设，推进社区等基层灾害风险网格化管理。支持和引导居民开展风险隐患排查治理和监督，加大举报奖励力度，筑牢安全风险 的人民防线。</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642" w:firstLineChars="200"/>
        <w:textAlignment w:val="auto"/>
        <w:outlineLvl w:val="1"/>
      </w:pPr>
      <w:bookmarkStart w:id="132" w:name="_Toc274962463_WPSOffice_Level2"/>
      <w:bookmarkStart w:id="133" w:name="_Toc1941952468_WPSOffice_Level2"/>
      <w:bookmarkStart w:id="134" w:name="_Toc29066"/>
      <w:r>
        <w:t>健全监测预报预警体系</w:t>
      </w:r>
      <w:bookmarkEnd w:id="132"/>
      <w:bookmarkEnd w:id="133"/>
      <w:bookmarkEnd w:id="134"/>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推进灾害风险调查评估工作。组织开展乌海市第一次全市自然灾害综合风险普查工作，分步骤开展风险调查、重点隐患调查与评估和风险评估与区划工作，按照“边普查、边应用、边见效”的原则及时将普查数据纳入相关行业领域应用。协调组织各区政府设立相应的普查领导小组及其办公室，明确实施主体，按时完成经费测算及申请工作，认真做好各级普查工作，形成灾害综合风险与减灾能力数据库，用好灾害综合防治区划图，汇总普查成果，做好数据维护更新工作。</w:t>
      </w: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提升灾害综合监测预警能力。建立健全全市自然灾害分类监测和分级预警制度、健全自然灾害事件报送、预警信息发布和预警响应制度。加强灾害风险监测空间技术应用,加快灾害地面监测站网和民用空间基础设施建设,构建空天地一体化监测体系,持续提升气象、水旱、地震、地质、林草等灾害监测预报预警能力。大力推进自然灾害监测预警信息化建设,完善全市自然灾害综合风险监测预警平台,强化多灾种和灾害链综合监测、重大风险早期精准识别。完善多部门共用、多灾种综合、多手段融合、“市-区-镇（办事处）-村（社区）”四级贯通的突发事件预警信息发布系统,提高预警信息发布时效性和精准度。</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35" w:name="_Toc1609802500_WPSOffice_Level2"/>
      <w:bookmarkStart w:id="136" w:name="_Toc1255078178_WPSOffice_Level2"/>
      <w:bookmarkStart w:id="137" w:name="_Toc1161"/>
      <w:r>
        <w:t>（三）健全安全预防控制体系</w:t>
      </w:r>
      <w:bookmarkEnd w:id="135"/>
      <w:bookmarkEnd w:id="136"/>
      <w:bookmarkEnd w:id="137"/>
    </w:p>
    <w:p>
      <w:pPr>
        <w:spacing w:line="560" w:lineRule="exact"/>
        <w:ind w:firstLine="642" w:firstLineChars="20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优化安全生产布局。</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严格落实安全生产法规标准的强制性要求，推动淘汰落后工艺、装备和产能，促进企业加快改造升级，建立安全生产条件不达标企业退出和落后产能化解机制。健全工业园区安全风险评估机制，完善工业园区建设项目安全审批管理制度。严格高危行业领域新建项目安全设施设计审查，强化全过程安全监管，推动第三方参与规划、设计、建设、运营、报废处置等全生产周期过程管理，发挥第三方技术支撑作用。</w:t>
      </w:r>
    </w:p>
    <w:p>
      <w:pPr>
        <w:spacing w:line="560" w:lineRule="exact"/>
        <w:ind w:firstLine="642" w:firstLineChars="20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严格安全生产准入。</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建立企业安全生产标准化动态监管机制，深入开展以岗位达标、专业达标、企业达标为主要内容的安全生产标准化建设，加快推进重点行业领域企业安全生产标准化达标升级，将标准化创建工作向工商贸小微企业延伸。鼓励有条件的企业建立与企业日常安全管理相适应、以安全生产标准化为重点的企业自主安全生产管理体系，实现动态达标与静态达标、结果达标与过程达标的有机统一。从严审批重点行业领域建设项目。加快淘汰退出矿山、危险化学品等生产企业落后产能，强制淘汰不符合安全标准的工艺技术装备和材料。强化高危行业领域企业负责人、安全管理人员和特种作业人员“三项岗位人员”从业资格监督检查。开展煤矿、非煤矿山、危险化学品等重点行业领域关键岗位人员职业安全技能提升专项行动。</w:t>
      </w: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b/>
          <w:bCs/>
          <w:color w:val="000000" w:themeColor="text1"/>
          <w:kern w:val="2"/>
          <w:sz w:val="32"/>
          <w:szCs w:val="32"/>
          <w:lang w:val="en-US" w:eastAsia="zh-CN" w:bidi="ar-SA"/>
          <w14:textFill>
            <w14:solidFill>
              <w14:schemeClr w14:val="tx1"/>
            </w14:solidFill>
          </w14:textFill>
        </w:rPr>
        <w:t>全力管控安全风险。</w:t>
      </w: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健全完善各行业领域企业安全风险评估制度，实行安全风险分级分类管理，严格落实安全风险管控责任。健全完善企业安全风险公告制度，推动企业在重点区域设置安全风险公告栏，制作发放岗位安全风险告知卡。定期开展城市安全风险辨识、分析、评价，完善重大安全风险清单，针对高危工艺、设备、物品、场所和岗位等重点部位，适时开展风险评估和“工业互联网+安全生产”试点，根据实际情况调整风险等级和管控措施。加快推进各安全生产风险监测预警系统建设，构建重大安全风险防控全生命周期管理模式。开展机械化换人、自动化减人示范，以机械化生产替换人工作业、以自动化控制减少人为操作，降低高危岗位现场作业人员数量。加强化工、桥梁、隧道、电力、油气、水利等重大工程和设施安全风险防控，定期开展重大工程和设施安全风险评估，制定落实风险管控措施。</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38" w:name="_Toc2086245786_WPSOffice_Level2"/>
      <w:bookmarkStart w:id="139" w:name="_Toc422452464_WPSOffice_Level2"/>
      <w:bookmarkStart w:id="140" w:name="_Toc28984"/>
      <w:r>
        <w:t>（四）加强自然灾害综合治理</w:t>
      </w:r>
      <w:bookmarkEnd w:id="138"/>
      <w:bookmarkEnd w:id="139"/>
      <w:bookmarkEnd w:id="140"/>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健全镇(办事处)防灾减灾工作组织体系，实现有机构、有场所、有人员,管理运行规范化。加强全国综合减灾示范社区建设工作。定期开展社区防灾减灾宣传教育活动，组织居民开展应急救护技能培训和逃生避险演练，增强风险防范意识，提升公众应急避险和自救互救技能。</w:t>
      </w: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健全城市安全制度体系,大力提高城市住房和公共设施的设防标准和抗灾能力。充分利用公园、广场、学校等公共服务设施，因地制宜改造和建设应急避难场所，增加避难场所数量。加快推进海绵城市建设，修复城市水生态，涵养水资源。加快补齐城市排水防涝设施建设的短板，增强城市防涝能力。加强农业防灾减灾基础设施建设，提升农业抗灾能力。</w:t>
      </w: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加快推进自然灾害风险源头治理。结合我市自然灾害特点，落实全市自然灾害防治八项重点工程，加强草原森林保护修护、黄河流域生态系统保护修复。加强林区防火基础设施建设,降低森林和草原火险水平,提高防灭火能力。发挥人工影响天气作业在抗旱防雹、雨量调节中的积极作用。加快防洪抗旱重大工程建设,加强中小河流治理、病险水库除险加固和山洪灾害防治,全面提高城市防洪排涝标准。继续实施地质灾害综合治理、公路水路基础设施改造、地震易发区房屋设施加固等工程,科学规划建设管理应急避难场所,逐步提升避灾防灾能力。统筹规划防灾减灾救灾设施。各级应急管理部门负责统筹规划安全事故、地震和地质灾害等救援队伍建设布局，充分考虑服务半径，合理规划应急避难场所。完善防灾减灾救灾工程建设标准体系，提升灾害高风险区域内学校、医院、居民住房、基础设施及文物保护单位的设防水平和承灾能力。</w:t>
      </w: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ind w:firstLine="640"/>
        <w:rPr>
          <w:rFonts w:hint="eastAsia" w:ascii="仿宋" w:hAnsi="仿宋" w:eastAsia="仿宋"/>
          <w:sz w:val="32"/>
          <w:szCs w:val="32"/>
        </w:rPr>
      </w:pPr>
    </w:p>
    <w:p>
      <w:pPr>
        <w:pStyle w:val="2"/>
        <w:spacing w:before="171" w:line="338" w:lineRule="auto"/>
        <w:rPr>
          <w:rFonts w:hint="eastAsia" w:ascii="仿宋" w:hAnsi="仿宋" w:eastAsia="仿宋"/>
          <w:sz w:val="32"/>
          <w:szCs w:val="32"/>
        </w:rPr>
      </w:pPr>
    </w:p>
    <w:p>
      <w:pPr>
        <w:pStyle w:val="2"/>
        <w:spacing w:before="171" w:line="338" w:lineRule="auto"/>
        <w:jc w:val="center"/>
        <w:rPr>
          <w:rFonts w:hint="eastAsia" w:ascii="仿宋" w:hAnsi="仿宋" w:eastAsia="仿宋"/>
          <w:b/>
          <w:bCs/>
          <w:sz w:val="32"/>
          <w:szCs w:val="32"/>
        </w:rPr>
      </w:pPr>
    </w:p>
    <w:p>
      <w:pPr>
        <w:pStyle w:val="2"/>
        <w:numPr>
          <w:ilvl w:val="0"/>
          <w:numId w:val="0"/>
        </w:numPr>
        <w:tabs>
          <w:tab w:val="left" w:pos="1279"/>
        </w:tabs>
        <w:ind w:leftChars="0" w:right="138" w:rightChars="0"/>
        <w:jc w:val="center"/>
        <w:outlineLvl w:val="0"/>
        <w:rPr>
          <w:rFonts w:hint="eastAsia" w:ascii="黑体" w:eastAsia="黑体" w:hAnsiTheme="minorHAnsi" w:cstheme="minorBidi"/>
          <w:b/>
          <w:bCs/>
          <w:color w:val="000000"/>
          <w:kern w:val="2"/>
          <w:sz w:val="32"/>
          <w:szCs w:val="32"/>
          <w:lang w:val="en-US" w:eastAsia="zh-CN" w:bidi="ar-SA"/>
        </w:rPr>
      </w:pPr>
      <w:bookmarkStart w:id="141" w:name="_Toc1902299452_WPSOffice_Level1"/>
      <w:bookmarkStart w:id="142" w:name="_Toc30547"/>
      <w:bookmarkStart w:id="143" w:name="_Toc1080165945_WPSOffice_Level1"/>
      <w:r>
        <w:rPr>
          <w:rFonts w:hint="eastAsia" w:ascii="黑体" w:eastAsia="黑体" w:cstheme="minorBidi"/>
          <w:b/>
          <w:bCs/>
          <w:color w:val="000000"/>
          <w:kern w:val="2"/>
          <w:sz w:val="32"/>
          <w:szCs w:val="32"/>
          <w:lang w:val="en-US" w:eastAsia="zh-CN" w:bidi="ar-SA"/>
        </w:rPr>
        <w:t xml:space="preserve">第六章 </w:t>
      </w:r>
      <w:r>
        <w:rPr>
          <w:rFonts w:hint="eastAsia" w:ascii="黑体" w:eastAsia="黑体" w:hAnsiTheme="minorHAnsi" w:cstheme="minorBidi"/>
          <w:b/>
          <w:bCs/>
          <w:color w:val="000000"/>
          <w:kern w:val="2"/>
          <w:sz w:val="32"/>
          <w:szCs w:val="32"/>
          <w:lang w:val="en-US" w:eastAsia="zh-CN" w:bidi="ar-SA"/>
        </w:rPr>
        <w:t>加强应急处置能力建设</w:t>
      </w:r>
      <w:bookmarkEnd w:id="141"/>
      <w:bookmarkEnd w:id="142"/>
      <w:bookmarkEnd w:id="143"/>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44" w:name="_Toc2300"/>
      <w:bookmarkStart w:id="145" w:name="_Toc353149117_WPSOffice_Level2"/>
      <w:bookmarkStart w:id="146" w:name="_Toc1107598248_WPSOffice_Level2"/>
      <w:r>
        <w:t>（一）强化综合性应急救援队伍建设</w:t>
      </w:r>
      <w:bookmarkEnd w:id="144"/>
      <w:bookmarkEnd w:id="145"/>
      <w:bookmarkEnd w:id="146"/>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支持和保障综合性消防救援队伍能力建设。推进消防救援队伍从处置“单一灾种”向应对“全灾种”转变，增强综合救援能力。落实国家综合性消防救援队伍与地方应急救援队伍代训代管机制，实行联勤联管联训联战，提升全市应急救援队伍综合应急救援能力和专业水平。</w:t>
      </w:r>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加强全市综合性应急救援队伍建设。依托现有安全生 产、防灾减灾应急救援队伍和政府专兼职消防救援队伍，重点建设市、区二级综合应急救援队伍，完善应急救援装备储运设施和体能、专业技战术、装备实操、特殊灾害环境适应性等训练设施，补充配备通用应急救援、应急通信、应急勘测、防汛抗洪抢险、个体防护等装备，拓展地震搜救、抗洪抢险、火灾扑救等救援功能。</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hint="eastAsia"/>
          <w:lang w:val="en-US" w:eastAsia="zh-CN"/>
        </w:rPr>
      </w:pPr>
      <w:bookmarkStart w:id="147" w:name="_Toc3779"/>
      <w:bookmarkStart w:id="148" w:name="_Toc400036269_WPSOffice_Level2"/>
      <w:bookmarkStart w:id="149" w:name="_Toc2132626429_WPSOffice_Level2"/>
      <w:r>
        <w:t>（二）加强行业专业救援队伍建设</w:t>
      </w:r>
      <w:bookmarkEnd w:id="147"/>
      <w:bookmarkEnd w:id="148"/>
      <w:bookmarkEnd w:id="149"/>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强化市、区政府和企业所属各类救援力量专业化建设。巩固、整合现有安全生产救援队伍资源，建强矿山、危险化学品等安全生产专业应急救援队伍，推进综合性安全生产应急救援队伍建设。指导区、企业安全生产应急救援队伍建设，推动规模以上高危行业领域企业加强专兼职应急救援队伍建设与应急物资装备配备。依托国有大型骨干企业组建一定规模的“多灾种”救援队伍和跨区域机动救援队伍，不断提升专业救援能力。建立完善各类队伍规模、装备配备、基础设施和工作条件建设标准规范。充分利用已有设施设备，加强队伍间资源共享、信息互通和共训共练。健全政府购买应急服务机制，加快建立应急救援队伍多渠道保障模式。</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50" w:name="_Toc6423"/>
      <w:bookmarkStart w:id="151" w:name="_Toc1934716420_WPSOffice_Level2"/>
      <w:bookmarkStart w:id="152" w:name="_Toc1365418701_WPSOffice_Level2"/>
      <w:r>
        <w:t>（三）强化应急救援装备现代化建设</w:t>
      </w:r>
      <w:bookmarkEnd w:id="150"/>
      <w:bookmarkEnd w:id="151"/>
      <w:bookmarkEnd w:id="152"/>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强化应急救援装备现代化建设，及时制定应急救援物资需求计划，加大救援装备物资更新补充力度，强化灭火救援攻坚装备配备，确保配齐配强专业应急救援设备设施。强化先进适用装备配备，全面提升高层建筑、地上工程、石油化工等专业灭火救援和地震、洪涝等多灾种综合应急救援能力。</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53" w:name="_Toc1702312163_WPSOffice_Level2"/>
      <w:bookmarkStart w:id="154" w:name="_Toc849"/>
      <w:bookmarkStart w:id="155" w:name="_Toc1127745235_WPSOffice_Level2"/>
      <w:r>
        <w:t>（</w:t>
      </w:r>
      <w:r>
        <w:rPr>
          <w:rFonts w:hint="eastAsia"/>
          <w:lang w:val="en-US" w:eastAsia="zh-CN"/>
        </w:rPr>
        <w:t>四</w:t>
      </w:r>
      <w:r>
        <w:t>）推进应急救援基地建设</w:t>
      </w:r>
      <w:bookmarkEnd w:id="153"/>
      <w:bookmarkEnd w:id="154"/>
      <w:bookmarkEnd w:id="155"/>
    </w:p>
    <w:p>
      <w:pPr>
        <w:pStyle w:val="2"/>
        <w:spacing w:before="171" w:line="338" w:lineRule="auto"/>
        <w:ind w:firstLine="640"/>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t>在内蒙古自治区支持下，积极推进乌海市危险化学品应急救援基地项目建设，努力打造辐射周边地区危险化学品产业重点聚集地区，建成布局合理、品种齐全、数量充足、管理规范的危险化学品事故应急救援物资储备库。根据乌海及周边地区化工园区多、危化生产企业多、重大危险源多，社会安全风险大等特点，储备应急救援物资，以便内蒙古自治区、周边地市统一进行应急救援物资的储备和调用，真正做到有备无患。</w:t>
      </w:r>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hint="eastAsia"/>
          <w:lang w:val="en-US" w:eastAsia="zh-CN"/>
        </w:rPr>
      </w:pPr>
      <w:bookmarkStart w:id="156" w:name="_Toc21621"/>
      <w:bookmarkStart w:id="157" w:name="_Toc1284075956_WPSOffice_Level2"/>
      <w:bookmarkStart w:id="158" w:name="_Toc75388208_WPSOffice_Level2"/>
      <w:r>
        <w:t>（</w:t>
      </w:r>
      <w:r>
        <w:rPr>
          <w:rFonts w:hint="eastAsia"/>
          <w:lang w:val="en-US" w:eastAsia="zh-CN"/>
        </w:rPr>
        <w:t>五</w:t>
      </w:r>
      <w:r>
        <w:t>）加强综合应急专家队伍建设</w:t>
      </w:r>
      <w:bookmarkEnd w:id="156"/>
      <w:bookmarkEnd w:id="157"/>
      <w:bookmarkEnd w:id="158"/>
    </w:p>
    <w:p>
      <w:pPr>
        <w:pStyle w:val="2"/>
        <w:spacing w:before="171" w:line="338" w:lineRule="auto"/>
        <w:ind w:firstLine="640"/>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建立健全应急专家队伍。</w:t>
      </w:r>
      <w:bookmarkStart w:id="159" w:name="_Hlk73910535"/>
      <w:r>
        <w:rPr>
          <w:rFonts w:hint="eastAsia" w:ascii="仿宋_GB2312" w:eastAsia="仿宋_GB2312" w:cs="Times New Roman"/>
          <w:color w:val="000000"/>
          <w:sz w:val="32"/>
          <w:szCs w:val="32"/>
          <w:lang w:val="en-US" w:eastAsia="zh-CN"/>
        </w:rPr>
        <w:t>充分利用自然灾害、事故灾难以及综合管理等领域专家学者和实践经验丰富的行政管理人员等现有资源</w:t>
      </w:r>
      <w:bookmarkEnd w:id="159"/>
      <w:r>
        <w:rPr>
          <w:rFonts w:hint="eastAsia" w:ascii="仿宋_GB2312" w:eastAsia="仿宋_GB2312" w:cs="Times New Roman"/>
          <w:color w:val="000000"/>
          <w:sz w:val="32"/>
          <w:szCs w:val="32"/>
          <w:lang w:val="en-US" w:eastAsia="zh-CN"/>
        </w:rPr>
        <w:t>，整合组建应急专家队伍，提升综合应急处置能力。</w:t>
      </w:r>
    </w:p>
    <w:p>
      <w:pPr>
        <w:pStyle w:val="4"/>
        <w:keepNext w:val="0"/>
        <w:keepLines w:val="0"/>
        <w:pageBreakBefore w:val="0"/>
        <w:widowControl w:val="0"/>
        <w:numPr>
          <w:ilvl w:val="0"/>
          <w:numId w:val="5"/>
        </w:numPr>
        <w:kinsoku/>
        <w:wordWrap/>
        <w:overflowPunct/>
        <w:topLinePunct w:val="0"/>
        <w:autoSpaceDE/>
        <w:autoSpaceDN/>
        <w:bidi w:val="0"/>
        <w:adjustRightInd/>
        <w:snapToGrid/>
        <w:ind w:left="0" w:leftChars="0" w:firstLine="642" w:firstLineChars="200"/>
        <w:textAlignment w:val="auto"/>
        <w:outlineLvl w:val="1"/>
      </w:pPr>
      <w:bookmarkStart w:id="160" w:name="_Toc194049428_WPSOffice_Level2"/>
      <w:bookmarkStart w:id="161" w:name="_Toc537188682_WPSOffice_Level2"/>
      <w:bookmarkStart w:id="162" w:name="_Toc28479"/>
      <w:r>
        <w:t>支持社会力量救援队伍建设</w:t>
      </w:r>
      <w:bookmarkEnd w:id="160"/>
      <w:bookmarkEnd w:id="161"/>
      <w:bookmarkEnd w:id="162"/>
    </w:p>
    <w:p>
      <w:pPr>
        <w:pStyle w:val="2"/>
        <w:spacing w:before="171" w:line="338" w:lineRule="auto"/>
        <w:ind w:firstLine="640"/>
        <w:rPr>
          <w:rFonts w:hint="eastAsia" w:ascii="仿宋_GB2312" w:eastAsia="仿宋_GB2312" w:cs="Times New Roman" w:hAnsiTheme="minorHAnsi"/>
          <w:color w:val="000000"/>
          <w:kern w:val="2"/>
          <w:sz w:val="32"/>
          <w:szCs w:val="32"/>
          <w:lang w:val="en-US" w:eastAsia="zh-CN" w:bidi="ar-SA"/>
        </w:rPr>
      </w:pPr>
      <w:r>
        <w:rPr>
          <w:rFonts w:hint="eastAsia" w:ascii="仿宋_GB2312" w:eastAsia="仿宋_GB2312" w:cs="Times New Roman" w:hAnsiTheme="minorHAnsi"/>
          <w:color w:val="000000"/>
          <w:kern w:val="2"/>
          <w:sz w:val="32"/>
          <w:szCs w:val="32"/>
          <w:lang w:val="en-US" w:eastAsia="zh-CN" w:bidi="ar-SA"/>
        </w:rPr>
        <w:t>健全社会力量参与机制。坚持鼓励支持、引导规范、效率优先、自愿自助原则，完善社会力量参与应急救援的相关行为准则，搭建社会组织、志愿者等社会力量参与的协调服务平台和信息导向平台。开展社会应急力量调查摸底，探索建立社会应急力量调用机制。落实人身保险、装备提供、业务培训、政府购买服务等支持措施。推动社会应急力量能力分类分级测评，引导其有序参与防灾减灾和应急处置工作，实现政府应急力量和社会应急力量有序整合。建立激励机制，按照有关规定表彰奖励作出重要贡献的社会应急力量。鼓励支持社会力量全方位参与常态防灾、减灾、应急救援、过渡安置、恢复重建等工作，构建多方参与的社会化防灾减灾和应急救援工作格局。</w:t>
      </w:r>
    </w:p>
    <w:p>
      <w:pPr>
        <w:pStyle w:val="4"/>
        <w:keepNext w:val="0"/>
        <w:keepLines w:val="0"/>
        <w:pageBreakBefore w:val="0"/>
        <w:widowControl w:val="0"/>
        <w:numPr>
          <w:ilvl w:val="0"/>
          <w:numId w:val="5"/>
        </w:numPr>
        <w:kinsoku/>
        <w:wordWrap/>
        <w:overflowPunct/>
        <w:topLinePunct w:val="0"/>
        <w:autoSpaceDE/>
        <w:autoSpaceDN/>
        <w:bidi w:val="0"/>
        <w:adjustRightInd/>
        <w:snapToGrid/>
        <w:ind w:left="0" w:leftChars="0" w:firstLine="642" w:firstLineChars="200"/>
        <w:textAlignment w:val="auto"/>
        <w:outlineLvl w:val="1"/>
      </w:pPr>
      <w:bookmarkStart w:id="163" w:name="_Toc31538"/>
      <w:bookmarkStart w:id="164" w:name="_Toc278366040_WPSOffice_Level2"/>
      <w:bookmarkStart w:id="165" w:name="_Toc1040359143_WPSOffice_Level2"/>
      <w:r>
        <w:t>推进激励保障体系建设</w:t>
      </w:r>
      <w:bookmarkEnd w:id="163"/>
      <w:bookmarkEnd w:id="164"/>
      <w:bookmarkEnd w:id="165"/>
    </w:p>
    <w:p>
      <w:pPr>
        <w:pStyle w:val="2"/>
        <w:spacing w:before="171" w:line="338" w:lineRule="auto"/>
        <w:ind w:firstLine="640"/>
        <w:rPr>
          <w:rFonts w:hint="eastAsia" w:ascii="仿宋_GB2312" w:eastAsia="仿宋_GB2312" w:cs="Times New Roman" w:hAnsiTheme="minorHAnsi"/>
          <w:color w:val="000000"/>
          <w:kern w:val="2"/>
          <w:sz w:val="32"/>
          <w:szCs w:val="32"/>
          <w:lang w:val="en-US" w:eastAsia="zh-CN" w:bidi="ar-SA"/>
        </w:rPr>
      </w:pPr>
      <w:r>
        <w:rPr>
          <w:rFonts w:hint="eastAsia" w:ascii="仿宋_GB2312" w:eastAsia="仿宋_GB2312" w:cs="Times New Roman" w:hAnsiTheme="minorHAnsi"/>
          <w:color w:val="000000"/>
          <w:kern w:val="2"/>
          <w:sz w:val="32"/>
          <w:szCs w:val="32"/>
          <w:lang w:val="en-US" w:eastAsia="zh-CN" w:bidi="ar-SA"/>
        </w:rPr>
        <w:t>建立应急管理基本保障制度。坚持综合施策，建立符合应急职业特点的工资待遇保障机制，健全完善应急管理部门岗位津贴、值班补贴、职业危害防护、医疗救治、心理健康、休疗养、人身意外伤害保险和抚恤优待等政策，推动基层应急管理队伍基本工作条件保障，着力解决应急管理干部队伍后顾之忧，切实增强职业荣誉感、使命感、归属感。</w:t>
      </w:r>
    </w:p>
    <w:p>
      <w:pPr>
        <w:pStyle w:val="2"/>
        <w:spacing w:before="171" w:line="338" w:lineRule="auto"/>
        <w:ind w:firstLine="640"/>
        <w:rPr>
          <w:rFonts w:hint="eastAsia" w:ascii="仿宋_GB2312" w:eastAsia="仿宋_GB2312" w:cs="Times New Roman" w:hAnsiTheme="minorHAnsi"/>
          <w:color w:val="000000"/>
          <w:kern w:val="2"/>
          <w:sz w:val="32"/>
          <w:szCs w:val="32"/>
          <w:lang w:val="en-US" w:eastAsia="zh-CN" w:bidi="ar-SA"/>
        </w:rPr>
      </w:pPr>
      <w:r>
        <w:rPr>
          <w:rFonts w:hint="eastAsia" w:ascii="仿宋_GB2312" w:eastAsia="仿宋_GB2312" w:cs="Times New Roman" w:hAnsiTheme="minorHAnsi"/>
          <w:color w:val="000000"/>
          <w:kern w:val="2"/>
          <w:sz w:val="32"/>
          <w:szCs w:val="32"/>
          <w:lang w:val="en-US" w:eastAsia="zh-CN" w:bidi="ar-SA"/>
        </w:rPr>
        <w:t>建立健全应急管理表彰奖励制度。建立面向基层的职 业荣誉体系和奖励制度，对重大行动中表现突出的集体和 个人及时给予记功奖励。组织“最美应急人”评选活动，表彰在应急管理事业发展、突发事件处置中表现突出的应急管理干部职工。注重在应急管理干部职工中推荐评选劳动模范、先进工作者、优秀共产党员等社会荣誉。制定抚恤优待政策，对在安全生产行政执法、处置安全生产和自然灾害等突发事件中致残、死亡的人员，参照烈士确定优抚待遇。</w:t>
      </w:r>
    </w:p>
    <w:p>
      <w:pPr>
        <w:pStyle w:val="2"/>
        <w:spacing w:before="171" w:line="338" w:lineRule="auto"/>
        <w:ind w:firstLine="640"/>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spacing w:before="171" w:line="338" w:lineRule="auto"/>
        <w:rPr>
          <w:rFonts w:hint="eastAsia" w:ascii="仿宋_GB2312" w:eastAsia="仿宋_GB2312" w:cs="Times New Roman" w:hAnsiTheme="minorHAnsi"/>
          <w:color w:val="000000"/>
          <w:kern w:val="2"/>
          <w:sz w:val="32"/>
          <w:szCs w:val="32"/>
          <w:lang w:val="en-US" w:eastAsia="zh-CN" w:bidi="ar-SA"/>
        </w:rPr>
      </w:pPr>
    </w:p>
    <w:p>
      <w:pPr>
        <w:pStyle w:val="2"/>
        <w:tabs>
          <w:tab w:val="left" w:pos="1279"/>
        </w:tabs>
        <w:ind w:left="0" w:right="138"/>
        <w:jc w:val="both"/>
        <w:outlineLvl w:val="0"/>
        <w:rPr>
          <w:rFonts w:hint="eastAsia" w:ascii="黑体" w:eastAsia="黑体" w:hAnsiTheme="minorHAnsi" w:cstheme="minorBidi"/>
          <w:color w:val="000000"/>
          <w:kern w:val="2"/>
          <w:sz w:val="32"/>
          <w:szCs w:val="32"/>
          <w:lang w:val="en-US" w:eastAsia="zh-CN" w:bidi="ar-SA"/>
        </w:rPr>
      </w:pPr>
      <w:bookmarkStart w:id="166" w:name="_Toc28053"/>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b/>
          <w:bCs/>
          <w:color w:val="000000"/>
          <w:kern w:val="2"/>
          <w:sz w:val="32"/>
          <w:szCs w:val="32"/>
          <w:lang w:val="en-US" w:eastAsia="zh-CN" w:bidi="ar-SA"/>
        </w:rPr>
      </w:pPr>
      <w:bookmarkStart w:id="167" w:name="_Toc41873610_WPSOffice_Level1"/>
      <w:bookmarkStart w:id="168" w:name="_Toc850312627_WPSOffice_Level1"/>
      <w:r>
        <w:rPr>
          <w:rFonts w:hint="eastAsia" w:ascii="黑体" w:eastAsia="黑体" w:hAnsiTheme="minorHAnsi" w:cstheme="minorBidi"/>
          <w:b/>
          <w:bCs/>
          <w:color w:val="000000"/>
          <w:kern w:val="2"/>
          <w:sz w:val="32"/>
          <w:szCs w:val="32"/>
          <w:lang w:val="en-US" w:eastAsia="zh-CN" w:bidi="ar-SA"/>
        </w:rPr>
        <w:t>第七章</w:t>
      </w:r>
      <w:r>
        <w:rPr>
          <w:rFonts w:hint="eastAsia" w:ascii="黑体" w:eastAsia="黑体" w:cstheme="minorBidi"/>
          <w:b/>
          <w:bCs/>
          <w:color w:val="000000"/>
          <w:kern w:val="2"/>
          <w:sz w:val="32"/>
          <w:szCs w:val="32"/>
          <w:lang w:val="en-US" w:eastAsia="zh-CN" w:bidi="ar-SA"/>
        </w:rPr>
        <w:t xml:space="preserve"> </w:t>
      </w:r>
      <w:r>
        <w:rPr>
          <w:rFonts w:hint="eastAsia" w:ascii="黑体" w:eastAsia="黑体" w:hAnsiTheme="minorHAnsi" w:cstheme="minorBidi"/>
          <w:b/>
          <w:bCs/>
          <w:color w:val="000000"/>
          <w:kern w:val="2"/>
          <w:sz w:val="32"/>
          <w:szCs w:val="32"/>
          <w:lang w:val="en-US" w:eastAsia="zh-CN" w:bidi="ar-SA"/>
        </w:rPr>
        <w:t>加强应急保障能力建设</w:t>
      </w:r>
      <w:bookmarkEnd w:id="166"/>
      <w:bookmarkEnd w:id="167"/>
      <w:bookmarkEnd w:id="168"/>
    </w:p>
    <w:p>
      <w:pPr>
        <w:pStyle w:val="4"/>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pPr>
      <w:bookmarkStart w:id="169" w:name="_Toc1056294329_WPSOffice_Level2"/>
      <w:bookmarkStart w:id="170" w:name="_Toc669746999_WPSOffice_Level2"/>
      <w:bookmarkStart w:id="171" w:name="_Toc4646"/>
      <w:r>
        <w:t>（一）强化应急预案准备</w:t>
      </w:r>
      <w:bookmarkEnd w:id="169"/>
      <w:bookmarkEnd w:id="170"/>
      <w:bookmarkEnd w:id="171"/>
    </w:p>
    <w:p>
      <w:pPr>
        <w:pStyle w:val="2"/>
        <w:spacing w:before="171" w:line="338" w:lineRule="auto"/>
        <w:ind w:firstLine="640"/>
        <w:rPr>
          <w:rFonts w:hint="eastAsia" w:ascii="仿宋_GB2312" w:eastAsia="仿宋_GB2312"/>
          <w:color w:val="000000"/>
          <w:sz w:val="32"/>
          <w:szCs w:val="32"/>
          <w:lang w:eastAsia="zh-CN"/>
        </w:rPr>
      </w:pPr>
      <w:r>
        <w:rPr>
          <w:rFonts w:hint="eastAsia" w:ascii="仿宋_GB2312" w:eastAsia="仿宋_GB2312"/>
          <w:color w:val="000000"/>
          <w:sz w:val="32"/>
          <w:szCs w:val="32"/>
        </w:rPr>
        <w:t>加强应急预案管理。按照</w:t>
      </w:r>
      <w:r>
        <w:rPr>
          <w:rFonts w:hint="eastAsia" w:ascii="仿宋_GB2312" w:eastAsia="仿宋_GB2312"/>
          <w:color w:val="000000"/>
          <w:sz w:val="32"/>
          <w:szCs w:val="32"/>
          <w:lang w:eastAsia="zh-CN"/>
        </w:rPr>
        <w:t>“</w:t>
      </w:r>
      <w:r>
        <w:rPr>
          <w:rFonts w:hint="eastAsia" w:ascii="仿宋_GB2312" w:eastAsia="仿宋_GB2312"/>
          <w:color w:val="000000"/>
          <w:sz w:val="32"/>
          <w:szCs w:val="32"/>
        </w:rPr>
        <w:t>标准统一、措施有力、衔接顺畅</w:t>
      </w:r>
      <w:r>
        <w:rPr>
          <w:rFonts w:hint="eastAsia" w:ascii="仿宋_GB2312" w:eastAsia="仿宋_GB2312"/>
          <w:color w:val="000000"/>
          <w:sz w:val="32"/>
          <w:szCs w:val="32"/>
          <w:lang w:eastAsia="zh-CN"/>
        </w:rPr>
        <w:t>”</w:t>
      </w:r>
      <w:r>
        <w:rPr>
          <w:rFonts w:hint="eastAsia" w:ascii="仿宋_GB2312" w:eastAsia="仿宋_GB2312"/>
          <w:color w:val="000000"/>
          <w:sz w:val="32"/>
          <w:szCs w:val="32"/>
        </w:rPr>
        <w:t>编制标准要求，建立健全</w:t>
      </w:r>
      <w:r>
        <w:rPr>
          <w:rFonts w:hint="eastAsia" w:ascii="仿宋_GB2312" w:eastAsia="仿宋_GB2312"/>
          <w:color w:val="000000"/>
          <w:sz w:val="32"/>
          <w:szCs w:val="32"/>
          <w:lang w:val="en-US" w:eastAsia="zh-CN"/>
        </w:rPr>
        <w:t>市、区</w:t>
      </w:r>
      <w:r>
        <w:rPr>
          <w:rFonts w:hint="eastAsia" w:ascii="仿宋_GB2312" w:eastAsia="仿宋_GB2312"/>
          <w:color w:val="000000"/>
          <w:sz w:val="32"/>
          <w:szCs w:val="32"/>
        </w:rPr>
        <w:t>总体预案、专项应急预案、部门响应方案，</w:t>
      </w:r>
      <w:r>
        <w:rPr>
          <w:rFonts w:hint="eastAsia" w:ascii="仿宋_GB2312" w:eastAsia="仿宋_GB2312"/>
          <w:color w:val="000000"/>
          <w:sz w:val="32"/>
          <w:szCs w:val="32"/>
          <w:lang w:val="en-US" w:eastAsia="zh-CN"/>
        </w:rPr>
        <w:t>大力</w:t>
      </w:r>
      <w:r>
        <w:rPr>
          <w:rFonts w:hint="eastAsia" w:ascii="仿宋_GB2312" w:eastAsia="仿宋_GB2312"/>
          <w:color w:val="000000"/>
          <w:sz w:val="32"/>
          <w:szCs w:val="32"/>
        </w:rPr>
        <w:t>推动灾害防治</w:t>
      </w:r>
      <w:r>
        <w:rPr>
          <w:rFonts w:hint="eastAsia" w:ascii="仿宋_GB2312" w:eastAsia="仿宋_GB2312"/>
          <w:color w:val="000000"/>
          <w:sz w:val="32"/>
          <w:szCs w:val="32"/>
          <w:lang w:val="en-US" w:eastAsia="zh-CN"/>
        </w:rPr>
        <w:t>部门、行业主管部门</w:t>
      </w:r>
      <w:r>
        <w:rPr>
          <w:rFonts w:hint="eastAsia" w:ascii="仿宋_GB2312" w:eastAsia="仿宋_GB2312"/>
          <w:color w:val="000000"/>
          <w:sz w:val="32"/>
          <w:szCs w:val="32"/>
        </w:rPr>
        <w:t>、生产经营单位履行本单位应急预案编制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修订</w:t>
      </w:r>
      <w:r>
        <w:rPr>
          <w:rFonts w:hint="eastAsia" w:ascii="仿宋_GB2312" w:eastAsia="仿宋_GB2312"/>
          <w:color w:val="000000"/>
          <w:sz w:val="32"/>
          <w:szCs w:val="32"/>
        </w:rPr>
        <w:t>职责</w:t>
      </w:r>
      <w:r>
        <w:rPr>
          <w:rFonts w:hint="eastAsia" w:ascii="仿宋_GB2312" w:eastAsia="仿宋_GB2312"/>
          <w:color w:val="000000"/>
          <w:sz w:val="32"/>
          <w:szCs w:val="32"/>
          <w:lang w:eastAsia="zh-CN"/>
        </w:rPr>
        <w:t>。</w:t>
      </w:r>
      <w:r>
        <w:rPr>
          <w:rFonts w:hint="eastAsia" w:ascii="仿宋_GB2312" w:eastAsia="仿宋_GB2312"/>
          <w:color w:val="000000"/>
          <w:sz w:val="32"/>
          <w:szCs w:val="32"/>
        </w:rPr>
        <w:t>针对可能发生极为罕见、特别重大突发事件，编制巨灾应对预案，开展应急能力评估。完善各级各类预案的评估、修订和宣传培训工作</w:t>
      </w:r>
      <w:r>
        <w:rPr>
          <w:rFonts w:hint="eastAsia" w:ascii="仿宋_GB2312" w:eastAsia="仿宋_GB2312"/>
          <w:color w:val="000000"/>
          <w:sz w:val="32"/>
          <w:szCs w:val="32"/>
          <w:lang w:eastAsia="zh-CN"/>
        </w:rPr>
        <w:t>。</w:t>
      </w:r>
    </w:p>
    <w:p>
      <w:pPr>
        <w:pStyle w:val="2"/>
        <w:spacing w:before="171" w:line="338" w:lineRule="auto"/>
        <w:ind w:firstLine="640"/>
        <w:rPr>
          <w:rFonts w:hint="eastAsia" w:ascii="仿宋_GB2312" w:eastAsia="仿宋_GB2312"/>
          <w:color w:val="000000"/>
          <w:sz w:val="32"/>
          <w:szCs w:val="32"/>
        </w:rPr>
      </w:pPr>
      <w:r>
        <w:rPr>
          <w:rFonts w:hint="eastAsia" w:ascii="仿宋_GB2312" w:eastAsia="仿宋_GB2312"/>
          <w:color w:val="000000"/>
          <w:sz w:val="32"/>
          <w:szCs w:val="32"/>
        </w:rPr>
        <w:t>强化应急演练。</w:t>
      </w:r>
      <w:r>
        <w:rPr>
          <w:rFonts w:hint="eastAsia" w:ascii="仿宋_GB2312" w:eastAsia="仿宋_GB2312"/>
          <w:color w:val="000000"/>
          <w:sz w:val="32"/>
          <w:szCs w:val="32"/>
          <w:lang w:val="en-US" w:eastAsia="zh-CN"/>
        </w:rPr>
        <w:t>市、区两级</w:t>
      </w:r>
      <w:r>
        <w:rPr>
          <w:rFonts w:hint="eastAsia" w:ascii="仿宋_GB2312" w:eastAsia="仿宋_GB2312"/>
          <w:color w:val="000000"/>
          <w:sz w:val="32"/>
          <w:szCs w:val="32"/>
        </w:rPr>
        <w:t>每年至少组织一次综合性应急演练，重点开展跨部门、跨系统、跨区域的综合应急演练；政府专项预案、部门预案至少每三年组织一次演练；自然灾害易发区域、高危行业企业、生命线工程以及人员密集场所管理单位</w:t>
      </w:r>
      <w:r>
        <w:rPr>
          <w:rFonts w:hint="eastAsia" w:ascii="仿宋_GB2312" w:eastAsia="仿宋_GB2312"/>
          <w:color w:val="000000"/>
          <w:sz w:val="32"/>
          <w:szCs w:val="32"/>
          <w:lang w:val="en-US" w:eastAsia="zh-CN"/>
        </w:rPr>
        <w:t>要</w:t>
      </w:r>
      <w:r>
        <w:rPr>
          <w:rFonts w:hint="eastAsia" w:ascii="仿宋_GB2312" w:eastAsia="仿宋_GB2312"/>
          <w:color w:val="000000"/>
          <w:sz w:val="32"/>
          <w:szCs w:val="32"/>
        </w:rPr>
        <w:t>经常组织开展</w:t>
      </w:r>
      <w:r>
        <w:rPr>
          <w:rFonts w:hint="eastAsia" w:ascii="仿宋_GB2312" w:eastAsia="仿宋_GB2312"/>
          <w:color w:val="000000"/>
          <w:sz w:val="32"/>
          <w:szCs w:val="32"/>
          <w:lang w:eastAsia="zh-CN"/>
        </w:rPr>
        <w:t>有</w:t>
      </w:r>
      <w:r>
        <w:rPr>
          <w:rFonts w:hint="eastAsia" w:ascii="仿宋_GB2312" w:eastAsia="仿宋_GB2312"/>
          <w:color w:val="000000"/>
          <w:sz w:val="32"/>
          <w:szCs w:val="32"/>
        </w:rPr>
        <w:t>针对性应急演练；其他行业领域企事业单位结合自身实际，每年至少组织一次应急演练。实行应急演练评估制度，及时评估预案执行的协调性、合理性及可操作性，并加以修正</w:t>
      </w:r>
      <w:r>
        <w:rPr>
          <w:rFonts w:hint="eastAsia" w:ascii="仿宋_GB2312" w:eastAsia="仿宋_GB2312"/>
          <w:color w:val="000000"/>
          <w:sz w:val="32"/>
          <w:szCs w:val="32"/>
          <w:lang w:eastAsia="zh-CN"/>
        </w:rPr>
        <w:t>、完善</w:t>
      </w:r>
      <w:r>
        <w:rPr>
          <w:rFonts w:hint="eastAsia" w:ascii="仿宋_GB2312" w:eastAsia="仿宋_GB2312"/>
          <w:color w:val="000000"/>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pPr>
      <w:bookmarkStart w:id="172" w:name="_Toc1690863434_WPSOffice_Level2"/>
      <w:bookmarkStart w:id="173" w:name="_Toc168832892_WPSOffice_Level2"/>
      <w:bookmarkStart w:id="174" w:name="_Toc13815"/>
      <w:r>
        <w:rPr>
          <w:rFonts w:hint="eastAsia"/>
          <w:lang w:eastAsia="zh-CN"/>
        </w:rPr>
        <w:t>（</w:t>
      </w:r>
      <w:r>
        <w:rPr>
          <w:rFonts w:hint="eastAsia"/>
          <w:lang w:val="en-US" w:eastAsia="zh-CN"/>
        </w:rPr>
        <w:t>二</w:t>
      </w:r>
      <w:r>
        <w:rPr>
          <w:rFonts w:hint="eastAsia"/>
          <w:lang w:eastAsia="zh-CN"/>
        </w:rPr>
        <w:t>）</w:t>
      </w:r>
      <w:r>
        <w:t>加强应急物资保障</w:t>
      </w:r>
      <w:bookmarkEnd w:id="172"/>
      <w:bookmarkEnd w:id="173"/>
      <w:bookmarkEnd w:id="174"/>
    </w:p>
    <w:p>
      <w:pPr>
        <w:pStyle w:val="2"/>
        <w:spacing w:before="171" w:line="338" w:lineRule="auto"/>
        <w:ind w:firstLine="640"/>
        <w:rPr>
          <w:rFonts w:hint="eastAsia" w:ascii="仿宋_GB2312" w:eastAsia="仿宋_GB2312"/>
          <w:color w:val="000000"/>
          <w:sz w:val="32"/>
          <w:szCs w:val="32"/>
        </w:rPr>
      </w:pPr>
      <w:r>
        <w:rPr>
          <w:rFonts w:hint="eastAsia" w:ascii="仿宋_GB2312" w:eastAsia="仿宋_GB2312"/>
          <w:color w:val="000000"/>
          <w:sz w:val="32"/>
          <w:szCs w:val="32"/>
        </w:rPr>
        <w:t>完善</w:t>
      </w:r>
      <w:r>
        <w:rPr>
          <w:rFonts w:hint="eastAsia" w:ascii="仿宋_GB2312" w:eastAsia="仿宋_GB2312"/>
          <w:color w:val="000000"/>
          <w:sz w:val="32"/>
          <w:szCs w:val="32"/>
          <w:lang w:eastAsia="zh-CN"/>
        </w:rPr>
        <w:t>全市</w:t>
      </w:r>
      <w:r>
        <w:rPr>
          <w:rFonts w:hint="eastAsia" w:ascii="仿宋_GB2312" w:eastAsia="仿宋_GB2312"/>
          <w:color w:val="000000"/>
          <w:sz w:val="32"/>
          <w:szCs w:val="32"/>
        </w:rPr>
        <w:t>应急物资储备体系。合理扩大储备规模和品种品类。开展重要应急物资产能摸底和提前储备，健全应急物资兜底收储制度。建立科学储备轮换制度，实现轮换工作制度化、规范化，确保应急物资数量、质量和储存安全。优化应急物资保障机制。健全市、区、</w:t>
      </w:r>
      <w:r>
        <w:rPr>
          <w:rFonts w:hint="eastAsia" w:ascii="仿宋_GB2312" w:eastAsia="仿宋_GB2312"/>
          <w:color w:val="000000"/>
          <w:sz w:val="32"/>
          <w:szCs w:val="32"/>
          <w:lang w:eastAsia="zh-CN"/>
        </w:rPr>
        <w:t>镇（办事处）</w:t>
      </w:r>
      <w:r>
        <w:rPr>
          <w:rFonts w:hint="eastAsia" w:ascii="仿宋_GB2312" w:eastAsia="仿宋_GB2312"/>
          <w:color w:val="000000"/>
          <w:sz w:val="32"/>
          <w:szCs w:val="32"/>
        </w:rPr>
        <w:t>物资保障分级响应机制，明确事权边界。健全应急物资保障跨部门、跨地区合作机制。构建与各有关部门职责兼容衔接的合作机制。</w:t>
      </w:r>
    </w:p>
    <w:p>
      <w:pPr>
        <w:pStyle w:val="2"/>
        <w:spacing w:before="171" w:line="338" w:lineRule="auto"/>
        <w:ind w:firstLine="640"/>
        <w:rPr>
          <w:rFonts w:hint="eastAsia" w:ascii="仿宋_GB2312" w:eastAsia="仿宋_GB2312"/>
          <w:color w:val="000000"/>
          <w:sz w:val="32"/>
          <w:szCs w:val="32"/>
        </w:rPr>
      </w:pPr>
      <w:r>
        <w:rPr>
          <w:rFonts w:hint="eastAsia" w:ascii="仿宋_GB2312" w:eastAsia="仿宋_GB2312"/>
          <w:color w:val="000000"/>
          <w:sz w:val="32"/>
          <w:szCs w:val="32"/>
        </w:rPr>
        <w:t>强化应急物资调配能力。建立健全应急物资集中生产调度、紧急采购和征用补偿、紧急调运分发等机制，推进应急物流枢纽和配送系统建设，提高重大物流设施抗灾能力和快速恢复能力。提升应急物资保障信息化水平。建立完善应急物资储备信息平台，强化应急物资和装备种类、数量、存储位置、管理单位等基础数据库信息资源管理系统功能。整合应急物资保障数据资源，建设应急物资综合信息平台，推进应急物资实时监测、快速调拨、全程追溯。</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75" w:name="_Toc18407"/>
      <w:bookmarkStart w:id="176" w:name="_Toc1978104454_WPSOffice_Level2"/>
      <w:bookmarkStart w:id="177" w:name="_Toc2130350617_WPSOffice_Level2"/>
      <w:r>
        <w:rPr>
          <w:rFonts w:hint="eastAsia"/>
          <w:lang w:eastAsia="zh-CN"/>
        </w:rPr>
        <w:t>（三）健全交通运输保障</w:t>
      </w:r>
      <w:bookmarkEnd w:id="175"/>
      <w:bookmarkEnd w:id="176"/>
      <w:bookmarkEnd w:id="177"/>
    </w:p>
    <w:p>
      <w:pPr>
        <w:pStyle w:val="2"/>
        <w:spacing w:before="171" w:line="338" w:lineRule="auto"/>
        <w:ind w:firstLine="640"/>
        <w:rPr>
          <w:rFonts w:hint="eastAsia" w:ascii="仿宋_GB2312" w:hAnsi="仿宋_GB2312" w:eastAsia="仿宋_GB2312" w:cs="仿宋_GB2312"/>
          <w:color w:val="auto"/>
          <w:spacing w:val="11"/>
          <w:kern w:val="2"/>
          <w:sz w:val="32"/>
          <w:szCs w:val="32"/>
          <w:lang w:val="en-US" w:eastAsia="zh-CN" w:bidi="ar-SA"/>
        </w:rPr>
      </w:pPr>
      <w:r>
        <w:rPr>
          <w:rFonts w:hint="eastAsia" w:ascii="仿宋_GB2312" w:eastAsia="仿宋_GB2312"/>
          <w:color w:val="000000"/>
          <w:sz w:val="32"/>
          <w:szCs w:val="32"/>
        </w:rPr>
        <w:t>健全多方参与、协同配合的综合交通紧急运输管理协 调机制，发挥国家储备基础设施网络作用，完善集中统一的应急物流管理和指挥机制。制定运输资源调运、征用、灾后补偿等配套政策，完善调运经费结算方式。加强交通应急抢通能力建设，进一步提高紧急运输能力。依托大型骨干物流企业，完善公路、铁路、水运、民航、邮政快递等全方位物流运输体系，优化紧急运输设施空间布局。推动建立覆盖</w:t>
      </w:r>
      <w:r>
        <w:rPr>
          <w:rFonts w:hint="eastAsia" w:ascii="仿宋_GB2312" w:eastAsia="仿宋_GB2312"/>
          <w:color w:val="000000"/>
          <w:sz w:val="32"/>
          <w:szCs w:val="32"/>
          <w:lang w:eastAsia="zh-CN"/>
        </w:rPr>
        <w:t>全市</w:t>
      </w:r>
      <w:r>
        <w:rPr>
          <w:rFonts w:hint="eastAsia" w:ascii="仿宋_GB2312" w:eastAsia="仿宋_GB2312"/>
          <w:color w:val="000000"/>
          <w:sz w:val="32"/>
          <w:szCs w:val="32"/>
        </w:rPr>
        <w:t>的各类交通工具和应急运输队伍的动态数据库，调动社会各方面运输能力，形成以陆路运输为基础，空运、水运多种方式相结合的综合交通紧急运输网络。</w:t>
      </w:r>
      <w:r>
        <w:rPr>
          <w:rFonts w:hint="eastAsia" w:ascii="仿宋_GB2312" w:eastAsia="仿宋_GB2312"/>
          <w:color w:val="000000"/>
          <w:sz w:val="32"/>
          <w:szCs w:val="32"/>
          <w:lang w:val="en-US" w:eastAsia="zh-CN"/>
        </w:rPr>
        <w:t>建设应急绿色通</w:t>
      </w:r>
      <w:r>
        <w:rPr>
          <w:rFonts w:hint="eastAsia" w:ascii="仿宋_GB2312" w:hAnsi="仿宋_GB2312" w:eastAsia="仿宋_GB2312" w:cs="仿宋_GB2312"/>
          <w:color w:val="auto"/>
          <w:spacing w:val="11"/>
          <w:kern w:val="2"/>
          <w:sz w:val="32"/>
          <w:szCs w:val="32"/>
          <w:lang w:val="en-US" w:eastAsia="zh-CN" w:bidi="ar-SA"/>
        </w:rPr>
        <w:t>道。持续完善应急物资快速调拨和紧急配送保障流程，加强应急队伍、装备、物资运输绿色通道建设，保障应急救援队伍、装备、物资快速抵达受灾地区。</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78" w:name="_Toc304090529_WPSOffice_Level2"/>
      <w:bookmarkStart w:id="179" w:name="_Toc17433"/>
      <w:bookmarkStart w:id="180" w:name="_Toc2016222949_WPSOffice_Level2"/>
      <w:r>
        <w:rPr>
          <w:rFonts w:hint="eastAsia"/>
          <w:lang w:eastAsia="zh-CN"/>
        </w:rPr>
        <w:t>（四）强化应急通信保障</w:t>
      </w:r>
      <w:bookmarkEnd w:id="178"/>
      <w:bookmarkEnd w:id="179"/>
      <w:bookmarkEnd w:id="180"/>
    </w:p>
    <w:p>
      <w:pPr>
        <w:pStyle w:val="2"/>
        <w:spacing w:before="171" w:line="338" w:lineRule="auto"/>
        <w:ind w:firstLine="640"/>
        <w:rPr>
          <w:rFonts w:hint="eastAsia" w:ascii="仿宋_GB2312" w:eastAsia="仿宋_GB2312"/>
          <w:color w:val="000000"/>
          <w:sz w:val="32"/>
          <w:szCs w:val="32"/>
        </w:rPr>
      </w:pPr>
      <w:r>
        <w:rPr>
          <w:rFonts w:hint="eastAsia" w:ascii="仿宋_GB2312" w:eastAsia="仿宋_GB2312"/>
          <w:color w:val="000000"/>
          <w:sz w:val="32"/>
          <w:szCs w:val="32"/>
        </w:rPr>
        <w:t>充分利用现有通信网络资源，健全各级各类应急管理 指挥调度通信网络，完善公众与专用、保密与非保密相结合的应急通信保障网络体系，加强公用通信安全保障，提升网络抗毁能力。进一步拓展公众通信网络紧急呼叫优先接通、互联互通以及终端用户定位等功能，新增一批机动通信应急装备，形成快速搭建现场应急通信平台的能力。根据需要，为应急救援机构与队伍配备适用的卫星通信、集群通信等无线通信设备，提高极端条件下重特大自然灾害和事故灾难现场的实时通信保障能力。</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81" w:name="_Toc31471"/>
      <w:bookmarkStart w:id="182" w:name="_Toc1062839606_WPSOffice_Level2"/>
      <w:bookmarkStart w:id="183" w:name="_Toc1173158955_WPSOffice_Level2"/>
      <w:r>
        <w:rPr>
          <w:rFonts w:hint="eastAsia"/>
          <w:lang w:eastAsia="zh-CN"/>
        </w:rPr>
        <w:t>（五）加强救助恢复保障</w:t>
      </w:r>
      <w:bookmarkEnd w:id="181"/>
      <w:bookmarkEnd w:id="182"/>
      <w:bookmarkEnd w:id="183"/>
    </w:p>
    <w:p>
      <w:pPr>
        <w:pStyle w:val="2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加强灾后生活救助和灾区恢复重建能力。适时调整优化灾害应急、过渡期救助、倒损民房恢复重建等政策,逐步建立与</w:t>
      </w:r>
      <w:r>
        <w:rPr>
          <w:rFonts w:hint="eastAsia" w:ascii="仿宋_GB2312" w:eastAsia="仿宋_GB2312" w:cstheme="minorBidi"/>
          <w:color w:val="000000"/>
          <w:kern w:val="2"/>
          <w:sz w:val="32"/>
          <w:szCs w:val="32"/>
          <w:lang w:val="en-US" w:eastAsia="zh-CN" w:bidi="ar-SA"/>
        </w:rPr>
        <w:t>全</w:t>
      </w:r>
      <w:r>
        <w:rPr>
          <w:rFonts w:hint="eastAsia" w:ascii="仿宋_GB2312" w:eastAsia="仿宋_GB2312" w:hAnsiTheme="minorHAnsi" w:cstheme="minorBidi"/>
          <w:color w:val="000000"/>
          <w:kern w:val="2"/>
          <w:sz w:val="32"/>
          <w:szCs w:val="32"/>
          <w:lang w:val="en-US" w:eastAsia="zh-CN" w:bidi="ar-SA"/>
        </w:rPr>
        <w:t>市经济社会发展水平相适应的自然灾害救助标准调整机制，提高应急救援和救灾救助水平。科学开展灾害损失评估、次生衍生灾害隐患排查及危险性评估、住房及建筑物受损鉴定和资源环境承载能力评价,有序推进灾后恢复重建工作。加强灾害恢复重建资金管理，强化恢复重建政策实施监督评估，确保相关政策落实到位。</w:t>
      </w:r>
    </w:p>
    <w:p>
      <w:pPr>
        <w:pStyle w:val="20"/>
        <w:rPr>
          <w:rFonts w:hint="eastAsia" w:ascii="仿宋_GB2312" w:eastAsia="仿宋_GB2312" w:hAnsiTheme="minorHAnsi" w:cstheme="minorBidi"/>
          <w:color w:val="000000"/>
          <w:kern w:val="2"/>
          <w:sz w:val="32"/>
          <w:szCs w:val="32"/>
          <w:lang w:val="en-US" w:eastAsia="zh-CN" w:bidi="ar-SA"/>
        </w:rPr>
      </w:pPr>
    </w:p>
    <w:p>
      <w:pPr>
        <w:numPr>
          <w:ilvl w:val="0"/>
          <w:numId w:val="0"/>
        </w:numPr>
      </w:pPr>
    </w:p>
    <w:p>
      <w:pPr>
        <w:pStyle w:val="2"/>
        <w:tabs>
          <w:tab w:val="left" w:pos="1279"/>
        </w:tabs>
        <w:ind w:left="0" w:right="138"/>
        <w:jc w:val="both"/>
        <w:rPr>
          <w:rFonts w:hint="eastAsia" w:ascii="黑体" w:eastAsia="黑体" w:hAnsiTheme="minorHAnsi" w:cstheme="minorBidi"/>
          <w:color w:val="000000"/>
          <w:kern w:val="2"/>
          <w:sz w:val="32"/>
          <w:szCs w:val="32"/>
          <w:lang w:val="en-US" w:eastAsia="zh-CN" w:bidi="ar-SA"/>
        </w:rPr>
      </w:pPr>
    </w:p>
    <w:p>
      <w:pPr>
        <w:pStyle w:val="2"/>
        <w:tabs>
          <w:tab w:val="left" w:pos="1279"/>
        </w:tabs>
        <w:ind w:left="0" w:right="138"/>
        <w:jc w:val="center"/>
        <w:outlineLvl w:val="0"/>
        <w:rPr>
          <w:rFonts w:hint="eastAsia" w:ascii="黑体" w:eastAsia="黑体" w:hAnsiTheme="minorHAnsi" w:cstheme="minorBidi"/>
          <w:color w:val="000000"/>
          <w:kern w:val="2"/>
          <w:sz w:val="32"/>
          <w:szCs w:val="32"/>
          <w:lang w:val="en-US" w:eastAsia="zh-CN" w:bidi="ar-SA"/>
        </w:rPr>
      </w:pPr>
      <w:bookmarkStart w:id="184" w:name="_Toc20443"/>
    </w:p>
    <w:p>
      <w:pPr>
        <w:pStyle w:val="2"/>
        <w:tabs>
          <w:tab w:val="left" w:pos="1279"/>
        </w:tabs>
        <w:ind w:left="0" w:right="138"/>
        <w:jc w:val="center"/>
        <w:outlineLvl w:val="0"/>
        <w:rPr>
          <w:rFonts w:hint="eastAsia" w:ascii="黑体" w:eastAsia="黑体" w:hAnsiTheme="minorHAnsi" w:cstheme="minorBidi"/>
          <w:b/>
          <w:bCs/>
          <w:color w:val="000000"/>
          <w:kern w:val="2"/>
          <w:sz w:val="32"/>
          <w:szCs w:val="32"/>
          <w:lang w:val="en-US" w:eastAsia="zh-CN" w:bidi="ar-SA"/>
        </w:rPr>
      </w:pPr>
      <w:bookmarkStart w:id="185" w:name="_Toc1231401070_WPSOffice_Level1"/>
      <w:bookmarkStart w:id="186" w:name="_Toc1296714636_WPSOffice_Level1"/>
      <w:r>
        <w:rPr>
          <w:rFonts w:hint="eastAsia" w:ascii="黑体" w:eastAsia="黑体" w:hAnsiTheme="minorHAnsi" w:cstheme="minorBidi"/>
          <w:b/>
          <w:bCs/>
          <w:color w:val="000000"/>
          <w:kern w:val="2"/>
          <w:sz w:val="32"/>
          <w:szCs w:val="32"/>
          <w:lang w:val="en-US" w:eastAsia="zh-CN" w:bidi="ar-SA"/>
        </w:rPr>
        <w:t>第八章</w:t>
      </w:r>
      <w:r>
        <w:rPr>
          <w:rFonts w:hint="eastAsia" w:ascii="黑体" w:eastAsia="黑体" w:cstheme="minorBidi"/>
          <w:b/>
          <w:bCs/>
          <w:color w:val="000000"/>
          <w:kern w:val="2"/>
          <w:sz w:val="32"/>
          <w:szCs w:val="32"/>
          <w:lang w:val="en-US" w:eastAsia="zh-CN" w:bidi="ar-SA"/>
        </w:rPr>
        <w:t xml:space="preserve"> </w:t>
      </w:r>
      <w:r>
        <w:rPr>
          <w:rFonts w:hint="eastAsia" w:ascii="黑体" w:eastAsia="黑体" w:hAnsiTheme="minorHAnsi" w:cstheme="minorBidi"/>
          <w:b/>
          <w:bCs/>
          <w:color w:val="000000"/>
          <w:kern w:val="2"/>
          <w:sz w:val="32"/>
          <w:szCs w:val="32"/>
          <w:lang w:val="en-US" w:eastAsia="zh-CN" w:bidi="ar-SA"/>
        </w:rPr>
        <w:t>加强应急科技支撑能力建设</w:t>
      </w:r>
      <w:bookmarkEnd w:id="184"/>
      <w:bookmarkEnd w:id="185"/>
      <w:bookmarkEnd w:id="186"/>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87" w:name="_Toc878019221_WPSOffice_Level2"/>
      <w:bookmarkStart w:id="188" w:name="_Toc12732"/>
      <w:bookmarkStart w:id="189" w:name="_Toc1852715509_WPSOffice_Level2"/>
      <w:r>
        <w:rPr>
          <w:rFonts w:hint="eastAsia"/>
          <w:lang w:eastAsia="zh-CN"/>
        </w:rPr>
        <w:t>（一）加强应急科技创新能力建设</w:t>
      </w:r>
      <w:bookmarkEnd w:id="187"/>
      <w:bookmarkEnd w:id="188"/>
      <w:bookmarkEnd w:id="189"/>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推进安全应急理论技术研发。</w:t>
      </w:r>
      <w:r>
        <w:rPr>
          <w:rFonts w:hint="eastAsia" w:ascii="仿宋_GB2312" w:eastAsia="仿宋_GB2312" w:hAnsiTheme="minorHAnsi" w:cstheme="minorBidi"/>
          <w:color w:val="auto"/>
          <w:kern w:val="2"/>
          <w:sz w:val="32"/>
          <w:szCs w:val="32"/>
          <w:lang w:val="en-US" w:eastAsia="zh-CN" w:bidi="ar-SA"/>
        </w:rPr>
        <w:t>大力支持科研院所、企事业单位深入开展以灾害事故致灾成灾机理为核心的基础研究，重点研发森林草原防灭火、防汛抗旱、抗震救灾、危险化学品、矿山、金属冶炼等安全、高效、智能化技术，提升全</w:t>
      </w:r>
      <w:r>
        <w:rPr>
          <w:rFonts w:hint="eastAsia" w:ascii="仿宋_GB2312" w:eastAsia="仿宋_GB2312" w:cstheme="minorBidi"/>
          <w:color w:val="auto"/>
          <w:kern w:val="2"/>
          <w:sz w:val="32"/>
          <w:szCs w:val="32"/>
          <w:lang w:val="en-US" w:eastAsia="zh-CN" w:bidi="ar-SA"/>
        </w:rPr>
        <w:t>市</w:t>
      </w:r>
      <w:r>
        <w:rPr>
          <w:rFonts w:hint="eastAsia" w:ascii="仿宋_GB2312" w:eastAsia="仿宋_GB2312" w:hAnsiTheme="minorHAnsi" w:cstheme="minorBidi"/>
          <w:color w:val="auto"/>
          <w:kern w:val="2"/>
          <w:sz w:val="32"/>
          <w:szCs w:val="32"/>
          <w:lang w:val="en-US" w:eastAsia="zh-CN" w:bidi="ar-SA"/>
        </w:rPr>
        <w:t>自然灾害防治和安全生产技术水平。</w:t>
      </w:r>
      <w:r>
        <w:rPr>
          <w:rFonts w:hint="eastAsia" w:ascii="仿宋_GB2312" w:eastAsia="仿宋_GB2312" w:hAnsiTheme="minorHAnsi" w:cstheme="minorBidi"/>
          <w:color w:val="000000"/>
          <w:kern w:val="2"/>
          <w:sz w:val="32"/>
          <w:szCs w:val="32"/>
          <w:lang w:val="en-US" w:eastAsia="zh-CN" w:bidi="ar-SA"/>
        </w:rPr>
        <w:t>充分发挥社会力量开展防灾减灾和事故防控科研的积极性。推动重点行业领域生产事故防控技术研究，研发事故灾难应急处置技术装备。通过政策引导和资金扶持，鼓励企事业单位自主研发适用于极端恶劣环境的智能化、实用化、轻量化专用装备。</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加快科技成果推广应用。依托“内蒙古科技大市场”和线上公共服务平台，推动安全生产科技创新与科技成果尽快在我市的转化、推广与应用。依托</w:t>
      </w:r>
      <w:r>
        <w:rPr>
          <w:rFonts w:hint="eastAsia" w:ascii="仿宋_GB2312" w:eastAsia="仿宋_GB2312" w:cstheme="minorBidi"/>
          <w:color w:val="000000"/>
          <w:kern w:val="2"/>
          <w:sz w:val="32"/>
          <w:szCs w:val="32"/>
          <w:lang w:val="en-US" w:eastAsia="zh-CN" w:bidi="ar-SA"/>
        </w:rPr>
        <w:t>内蒙古自治区</w:t>
      </w:r>
      <w:r>
        <w:rPr>
          <w:rFonts w:hint="eastAsia" w:ascii="仿宋_GB2312" w:eastAsia="仿宋_GB2312" w:hAnsiTheme="minorHAnsi" w:cstheme="minorBidi"/>
          <w:color w:val="000000"/>
          <w:kern w:val="2"/>
          <w:sz w:val="32"/>
          <w:szCs w:val="32"/>
          <w:lang w:val="en-US" w:eastAsia="zh-CN" w:bidi="ar-SA"/>
        </w:rPr>
        <w:t>和我市高等院校、科研院所等机构和重点企业，鼓励和支持先进技术装备在应急各专业领域的推广应用，实施智慧矿山风险防控、智慧化工园区风险防控、智慧消防等示范工程。</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加大综合应急指挥平台建设工作，稳步推进应急指挥中心项目建设，完善相关数据，实现与应急管理大数据应用平台的相关模块高效协同，自动汇聚、关联、融合数据资源，为应急救援工作提供科学支撑。</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90" w:name="_Toc17244"/>
      <w:bookmarkStart w:id="191" w:name="_Toc1598181360_WPSOffice_Level2"/>
      <w:bookmarkStart w:id="192" w:name="_Toc745950700_WPSOffice_Level2"/>
      <w:r>
        <w:rPr>
          <w:rFonts w:hint="eastAsia"/>
          <w:lang w:eastAsia="zh-CN"/>
        </w:rPr>
        <w:t>（二）加强应急人才培养</w:t>
      </w:r>
      <w:bookmarkEnd w:id="190"/>
      <w:bookmarkEnd w:id="191"/>
      <w:bookmarkEnd w:id="192"/>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加强专业人才配备。通过公务员考录、公务员遴选、事业单位招聘考录的方式，加快引进一批学历层次较高、专业对口、有相关企业和基层工作经验的</w:t>
      </w:r>
      <w:r>
        <w:rPr>
          <w:rFonts w:hint="eastAsia" w:ascii="仿宋_GB2312" w:eastAsia="仿宋_GB2312" w:cstheme="minorBidi"/>
          <w:color w:val="000000"/>
          <w:kern w:val="2"/>
          <w:sz w:val="32"/>
          <w:szCs w:val="32"/>
          <w:lang w:val="en-US" w:eastAsia="zh-CN" w:bidi="ar-SA"/>
        </w:rPr>
        <w:t>应急管理</w:t>
      </w:r>
      <w:r>
        <w:rPr>
          <w:rFonts w:hint="eastAsia" w:ascii="仿宋_GB2312" w:eastAsia="仿宋_GB2312" w:hAnsiTheme="minorHAnsi" w:cstheme="minorBidi"/>
          <w:color w:val="000000"/>
          <w:kern w:val="2"/>
          <w:sz w:val="32"/>
          <w:szCs w:val="32"/>
          <w:lang w:val="en-US" w:eastAsia="zh-CN" w:bidi="ar-SA"/>
        </w:rPr>
        <w:t>专业人才，</w:t>
      </w:r>
      <w:r>
        <w:rPr>
          <w:rFonts w:hint="eastAsia" w:ascii="仿宋_GB2312" w:eastAsia="仿宋_GB2312" w:cstheme="minorBidi"/>
          <w:color w:val="000000"/>
          <w:kern w:val="2"/>
          <w:sz w:val="32"/>
          <w:szCs w:val="32"/>
          <w:lang w:val="en-US" w:eastAsia="zh-CN" w:bidi="ar-SA"/>
        </w:rPr>
        <w:t>提高专业人才待遇，确保选的上人，留得住人，</w:t>
      </w:r>
      <w:r>
        <w:rPr>
          <w:rFonts w:hint="eastAsia" w:ascii="仿宋_GB2312" w:eastAsia="仿宋_GB2312" w:hAnsiTheme="minorHAnsi" w:cstheme="minorBidi"/>
          <w:color w:val="000000"/>
          <w:kern w:val="2"/>
          <w:sz w:val="32"/>
          <w:szCs w:val="32"/>
          <w:lang w:val="en-US" w:eastAsia="zh-CN" w:bidi="ar-SA"/>
        </w:rPr>
        <w:t>适</w:t>
      </w:r>
      <w:r>
        <w:rPr>
          <w:rFonts w:hint="eastAsia" w:ascii="仿宋_GB2312" w:eastAsia="仿宋_GB2312" w:cstheme="minorBidi"/>
          <w:color w:val="000000"/>
          <w:kern w:val="2"/>
          <w:sz w:val="32"/>
          <w:szCs w:val="32"/>
          <w:lang w:val="en-US" w:eastAsia="zh-CN" w:bidi="ar-SA"/>
        </w:rPr>
        <w:t>当</w:t>
      </w:r>
      <w:r>
        <w:rPr>
          <w:rFonts w:hint="eastAsia" w:ascii="仿宋_GB2312" w:eastAsia="仿宋_GB2312" w:hAnsiTheme="minorHAnsi" w:cstheme="minorBidi"/>
          <w:color w:val="000000"/>
          <w:kern w:val="2"/>
          <w:sz w:val="32"/>
          <w:szCs w:val="32"/>
          <w:lang w:val="en-US" w:eastAsia="zh-CN" w:bidi="ar-SA"/>
        </w:rPr>
        <w:t>增加应急管理部门公务员、事业编编制数量。</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加强业务能力培训。强化</w:t>
      </w:r>
      <w:r>
        <w:rPr>
          <w:rFonts w:hint="eastAsia" w:ascii="仿宋_GB2312" w:eastAsia="仿宋_GB2312" w:cstheme="minorBidi"/>
          <w:color w:val="000000"/>
          <w:kern w:val="2"/>
          <w:sz w:val="32"/>
          <w:szCs w:val="32"/>
          <w:lang w:val="en-US" w:eastAsia="zh-CN" w:bidi="ar-SA"/>
        </w:rPr>
        <w:t>应急管理</w:t>
      </w:r>
      <w:r>
        <w:rPr>
          <w:rFonts w:hint="eastAsia" w:ascii="仿宋_GB2312" w:eastAsia="仿宋_GB2312" w:hAnsiTheme="minorHAnsi" w:cstheme="minorBidi"/>
          <w:color w:val="000000"/>
          <w:kern w:val="2"/>
          <w:sz w:val="32"/>
          <w:szCs w:val="32"/>
          <w:lang w:val="en-US" w:eastAsia="zh-CN" w:bidi="ar-SA"/>
        </w:rPr>
        <w:t>能力提升培训，统一做好</w:t>
      </w:r>
      <w:r>
        <w:rPr>
          <w:rFonts w:hint="eastAsia" w:ascii="仿宋_GB2312" w:eastAsia="仿宋_GB2312" w:cstheme="minorBidi"/>
          <w:color w:val="000000"/>
          <w:kern w:val="2"/>
          <w:sz w:val="32"/>
          <w:szCs w:val="32"/>
          <w:lang w:val="en-US" w:eastAsia="zh-CN" w:bidi="ar-SA"/>
        </w:rPr>
        <w:t>应急管理</w:t>
      </w:r>
      <w:r>
        <w:rPr>
          <w:rFonts w:hint="eastAsia" w:ascii="仿宋_GB2312" w:eastAsia="仿宋_GB2312" w:hAnsiTheme="minorHAnsi" w:cstheme="minorBidi"/>
          <w:color w:val="000000"/>
          <w:kern w:val="2"/>
          <w:sz w:val="32"/>
          <w:szCs w:val="32"/>
          <w:lang w:val="en-US" w:eastAsia="zh-CN" w:bidi="ar-SA"/>
        </w:rPr>
        <w:t>工作的思想认识，提高干部的责任和使命感。采取集中培训、观摩学习、轮岗交流等方式，多措并举提升</w:t>
      </w:r>
      <w:r>
        <w:rPr>
          <w:rFonts w:hint="eastAsia" w:ascii="仿宋_GB2312" w:eastAsia="仿宋_GB2312" w:cstheme="minorBidi"/>
          <w:color w:val="000000"/>
          <w:kern w:val="2"/>
          <w:sz w:val="32"/>
          <w:szCs w:val="32"/>
          <w:lang w:val="en-US" w:eastAsia="zh-CN" w:bidi="ar-SA"/>
        </w:rPr>
        <w:t>应急管理</w:t>
      </w:r>
      <w:r>
        <w:rPr>
          <w:rFonts w:hint="eastAsia" w:ascii="仿宋_GB2312" w:eastAsia="仿宋_GB2312" w:hAnsiTheme="minorHAnsi" w:cstheme="minorBidi"/>
          <w:color w:val="000000"/>
          <w:kern w:val="2"/>
          <w:sz w:val="32"/>
          <w:szCs w:val="32"/>
          <w:lang w:val="en-US" w:eastAsia="zh-CN" w:bidi="ar-SA"/>
        </w:rPr>
        <w:t>干部队伍专业技能，培育和储备专业知识丰富、专业技能突出的</w:t>
      </w:r>
      <w:r>
        <w:rPr>
          <w:rFonts w:hint="eastAsia" w:ascii="仿宋_GB2312" w:eastAsia="仿宋_GB2312" w:cstheme="minorBidi"/>
          <w:color w:val="000000"/>
          <w:kern w:val="2"/>
          <w:sz w:val="32"/>
          <w:szCs w:val="32"/>
          <w:lang w:val="en-US" w:eastAsia="zh-CN" w:bidi="ar-SA"/>
        </w:rPr>
        <w:t>应急管理</w:t>
      </w:r>
      <w:r>
        <w:rPr>
          <w:rFonts w:hint="eastAsia" w:ascii="仿宋_GB2312" w:eastAsia="仿宋_GB2312" w:hAnsiTheme="minorHAnsi" w:cstheme="minorBidi"/>
          <w:color w:val="000000"/>
          <w:kern w:val="2"/>
          <w:sz w:val="32"/>
          <w:szCs w:val="32"/>
          <w:lang w:val="en-US" w:eastAsia="zh-CN" w:bidi="ar-SA"/>
        </w:rPr>
        <w:t>干部队伍，增强我市</w:t>
      </w:r>
      <w:r>
        <w:rPr>
          <w:rFonts w:hint="eastAsia" w:ascii="仿宋_GB2312" w:eastAsia="仿宋_GB2312" w:cstheme="minorBidi"/>
          <w:color w:val="000000"/>
          <w:kern w:val="2"/>
          <w:sz w:val="32"/>
          <w:szCs w:val="32"/>
          <w:lang w:val="en-US" w:eastAsia="zh-CN" w:bidi="ar-SA"/>
        </w:rPr>
        <w:t>应急管理</w:t>
      </w:r>
      <w:r>
        <w:rPr>
          <w:rFonts w:hint="eastAsia" w:ascii="仿宋_GB2312" w:eastAsia="仿宋_GB2312" w:hAnsiTheme="minorHAnsi" w:cstheme="minorBidi"/>
          <w:color w:val="000000"/>
          <w:kern w:val="2"/>
          <w:sz w:val="32"/>
          <w:szCs w:val="32"/>
          <w:lang w:val="en-US" w:eastAsia="zh-CN" w:bidi="ar-SA"/>
        </w:rPr>
        <w:t>干部履职能力和业务水平。</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快专业技术人员队伍建设。加大应急管理人才培养力度，加强与各级党校、行政学院合作，将应急管理纳入党政领导干部必修内容，做到懂理论、精专业、善指挥、会管理，更好发挥领导作用。完善应急管理专业人员定期培训和继续教育机制。充分利用各类教育培训机构及远程教育系统，对重点企业、街道、乡村、学校等单位的基层干部群众进行应急知识和技能培训，提高基层干部群众排查安全隐患和第一时间实施应急救援与自救互救的能力。</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强化企业从业人员安全生产水平，扎</w:t>
      </w:r>
      <w:r>
        <w:rPr>
          <w:rFonts w:hint="default" w:ascii="仿宋_GB2312" w:eastAsia="仿宋_GB2312" w:hAnsiTheme="minorHAnsi" w:cstheme="minorBidi"/>
          <w:color w:val="000000"/>
          <w:kern w:val="2"/>
          <w:sz w:val="32"/>
          <w:szCs w:val="32"/>
          <w:lang w:val="en-US" w:eastAsia="zh-CN" w:bidi="ar-SA"/>
        </w:rPr>
        <w:t>实开展安全</w:t>
      </w:r>
      <w:r>
        <w:rPr>
          <w:rFonts w:hint="eastAsia" w:ascii="仿宋_GB2312" w:eastAsia="仿宋_GB2312" w:hAnsiTheme="minorHAnsi" w:cstheme="minorBidi"/>
          <w:color w:val="000000"/>
          <w:kern w:val="2"/>
          <w:sz w:val="32"/>
          <w:szCs w:val="32"/>
          <w:lang w:val="en-US" w:eastAsia="zh-CN" w:bidi="ar-SA"/>
        </w:rPr>
        <w:t>培训工作。结合《乌海市安全生产专项整治三年行动工作方案》，依托园区、企业或第三方专业机构建设符合我市实际的安全生产培训实训基地；聚焦构建标准规范统一、培训载体丰富、线上线下融合、有效供给多样的培训网络目标，进一步推进企业培训空间建设。</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93" w:name="_Toc305996191_WPSOffice_Level2"/>
      <w:bookmarkStart w:id="194" w:name="_Toc7461"/>
      <w:bookmarkStart w:id="195" w:name="_Toc1593831980_WPSOffice_Level2"/>
      <w:r>
        <w:rPr>
          <w:rFonts w:hint="eastAsia"/>
          <w:lang w:eastAsia="zh-CN"/>
        </w:rPr>
        <w:t>（三）推进安全应急产业发展</w:t>
      </w:r>
      <w:bookmarkEnd w:id="193"/>
      <w:bookmarkEnd w:id="194"/>
      <w:bookmarkEnd w:id="195"/>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优化安全应急产业结构。以企业为主体，市场为导向，推动安全应急产业向中高端发展。采用推荐目录、鼓励清单和购买服务等形式，引导社会资源投向先进、适用、可靠的安全应急产品和服务。加快发展安全应急服务业，发展智能预警、应急救援救护等社会惠民服务，鼓励企业提供安全应急一体化综合解决方案和服务产品。</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支持安全应急企业发展。落实应急产业发展扶持政策，支持有实力的企业做大做强，建成一批具有较强竞争力，能够参与国内国际双循环的安全应急产业大型集团。鼓励特色明显、创新能力强的中小微企业利用现有资金渠道加速发展。繁荣发展安全文化产业，扩大优质产品供给，拓展社会资源参与文化建设的渠道。</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eastAsia="zh-CN"/>
        </w:rPr>
      </w:pPr>
      <w:bookmarkStart w:id="196" w:name="_Toc2083746350_WPSOffice_Level2"/>
      <w:bookmarkStart w:id="197" w:name="_Toc1662"/>
      <w:bookmarkStart w:id="198" w:name="_Toc1657931320_WPSOffice_Level2"/>
      <w:r>
        <w:rPr>
          <w:rFonts w:hint="eastAsia"/>
          <w:lang w:eastAsia="zh-CN"/>
        </w:rPr>
        <w:t>（四）提高应急管理信息化水平</w:t>
      </w:r>
      <w:bookmarkEnd w:id="196"/>
      <w:bookmarkEnd w:id="197"/>
      <w:bookmarkEnd w:id="198"/>
    </w:p>
    <w:p>
      <w:pPr>
        <w:pStyle w:val="2"/>
        <w:spacing w:before="171" w:line="338" w:lineRule="auto"/>
        <w:ind w:firstLine="640"/>
        <w:rPr>
          <w:rFonts w:hint="eastAsia" w:ascii="仿宋_GB2312" w:eastAsia="仿宋_GB2312"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重点加强源头信息采集和业务系统建设，大力开展监测预警感知网络项目建设，实现安全生产、自然灾害、应急资源等各类感知数据的采集，提升应急管理部门对各类灾害事故的信息掌握能力，推进“互联网+监管”的智能化升级，依靠科技信息化提升防范化解重大安全风险能力。强化数字技术在自然灾害、事故灾难等突发公共事件应对中的运用，全面提升预警和应急处置能力。建设应急管理主题数据库，不断扩大信息获取范围，接入各委办局现有的信息资源，提高信息资源的利用率。建设应急管理综合应用平台，将各转隶部门的业务系统集中，实现对各类数据资源的自动汇聚、关联、融合。加快推进应急指挥中心项目建设，建设应急指挥调度等业务系统，重点建设“应急指挥一张图”，建设完善相关数据库，实现与应急管理大数据应用平台的相关模块实现高效协同。依托国家电子政务网及应急指挥信息网，实现市、</w:t>
      </w:r>
      <w:r>
        <w:rPr>
          <w:rFonts w:hint="eastAsia" w:ascii="仿宋_GB2312" w:eastAsia="仿宋_GB2312" w:cstheme="minorBidi"/>
          <w:color w:val="000000"/>
          <w:kern w:val="2"/>
          <w:sz w:val="32"/>
          <w:szCs w:val="32"/>
          <w:lang w:val="en-US" w:eastAsia="zh-CN" w:bidi="ar-SA"/>
        </w:rPr>
        <w:t>区</w:t>
      </w:r>
      <w:r>
        <w:rPr>
          <w:rFonts w:hint="eastAsia" w:ascii="仿宋_GB2312" w:eastAsia="仿宋_GB2312" w:hAnsiTheme="minorHAnsi" w:cstheme="minorBidi"/>
          <w:color w:val="000000"/>
          <w:kern w:val="2"/>
          <w:sz w:val="32"/>
          <w:szCs w:val="32"/>
          <w:lang w:val="en-US" w:eastAsia="zh-CN" w:bidi="ar-SA"/>
        </w:rPr>
        <w:t>应急通信网络联通，推动跨部门、跨层级、跨区域的互联互通、信息共享和业务协同。推进重点行业领域信息化建设标准制定，明晰监管职能，拓展应用功能。系统推进“智慧应急”建设，建立符合大数据发展的应急数据治理体系，完善监督管理、监测预警、指挥救援、灾情管理、政务管理和社会动员等功能，推动应急管理的精准化、科学化、智能化、高效化。推进自主可控核心技术在关键软硬件和技术装备中的规模应用，对信息系统安全防护和数据分级实施分类管理，建设新一代智能运维体系和具备纵深防御能力的信息网络安全体</w:t>
      </w:r>
      <w:r>
        <w:rPr>
          <w:rFonts w:hint="eastAsia" w:ascii="仿宋_GB2312" w:eastAsia="仿宋_GB2312" w:cstheme="minorBidi"/>
          <w:color w:val="000000"/>
          <w:kern w:val="2"/>
          <w:sz w:val="32"/>
          <w:szCs w:val="32"/>
          <w:lang w:val="en-US" w:eastAsia="zh-CN" w:bidi="ar-SA"/>
        </w:rPr>
        <w:t>。</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footerReference r:id="rId5" w:type="default"/>
          <w:pgSz w:w="11850" w:h="16790"/>
          <w:pgMar w:top="1440" w:right="1800" w:bottom="1440" w:left="1800" w:header="0" w:footer="1059" w:gutter="0"/>
          <w:pgNumType w:fmt="decimal" w:start="1"/>
          <w:cols w:space="720" w:num="1"/>
        </w:sectPr>
      </w:pPr>
    </w:p>
    <w:p>
      <w:pPr>
        <w:pStyle w:val="2"/>
        <w:numPr>
          <w:ilvl w:val="0"/>
          <w:numId w:val="0"/>
        </w:numPr>
        <w:tabs>
          <w:tab w:val="left" w:pos="1279"/>
          <w:tab w:val="left" w:pos="1359"/>
          <w:tab w:val="center" w:pos="4783"/>
        </w:tabs>
        <w:ind w:right="138" w:rightChars="0"/>
        <w:jc w:val="center"/>
        <w:outlineLvl w:val="0"/>
        <w:rPr>
          <w:rFonts w:hint="eastAsia" w:ascii="黑体" w:eastAsia="黑体" w:cstheme="minorBidi"/>
          <w:b/>
          <w:bCs/>
          <w:color w:val="000000"/>
          <w:kern w:val="2"/>
          <w:sz w:val="32"/>
          <w:szCs w:val="32"/>
          <w:lang w:val="en-US" w:eastAsia="zh-CN" w:bidi="ar-SA"/>
        </w:rPr>
      </w:pPr>
      <w:bookmarkStart w:id="199" w:name="_Toc15939"/>
      <w:bookmarkStart w:id="200" w:name="_Toc1888118068_WPSOffice_Level1"/>
    </w:p>
    <w:p>
      <w:pPr>
        <w:pStyle w:val="2"/>
        <w:numPr>
          <w:ilvl w:val="0"/>
          <w:numId w:val="0"/>
        </w:numPr>
        <w:tabs>
          <w:tab w:val="left" w:pos="1279"/>
          <w:tab w:val="left" w:pos="1359"/>
          <w:tab w:val="center" w:pos="4783"/>
        </w:tabs>
        <w:ind w:right="138" w:rightChars="0"/>
        <w:jc w:val="center"/>
        <w:outlineLvl w:val="0"/>
        <w:rPr>
          <w:rFonts w:hint="eastAsia" w:ascii="黑体" w:eastAsia="黑体" w:hAnsiTheme="minorHAnsi" w:cstheme="minorBidi"/>
          <w:b/>
          <w:bCs/>
          <w:color w:val="000000"/>
          <w:kern w:val="2"/>
          <w:sz w:val="32"/>
          <w:szCs w:val="32"/>
          <w:lang w:val="en-US" w:eastAsia="zh-CN" w:bidi="ar-SA"/>
        </w:rPr>
      </w:pPr>
      <w:bookmarkStart w:id="201" w:name="_Toc777863262_WPSOffice_Level1"/>
      <w:r>
        <w:rPr>
          <w:rFonts w:hint="eastAsia" w:ascii="黑体" w:eastAsia="黑体" w:cstheme="minorBidi"/>
          <w:b/>
          <w:bCs/>
          <w:color w:val="000000"/>
          <w:kern w:val="2"/>
          <w:sz w:val="32"/>
          <w:szCs w:val="32"/>
          <w:lang w:val="en-US" w:eastAsia="zh-CN" w:bidi="ar-SA"/>
        </w:rPr>
        <w:t xml:space="preserve">第九章 </w:t>
      </w:r>
      <w:r>
        <w:rPr>
          <w:rFonts w:hint="eastAsia" w:ascii="黑体" w:eastAsia="黑体" w:hAnsiTheme="minorHAnsi" w:cstheme="minorBidi"/>
          <w:b/>
          <w:bCs/>
          <w:color w:val="000000"/>
          <w:kern w:val="2"/>
          <w:sz w:val="32"/>
          <w:szCs w:val="32"/>
          <w:lang w:val="en-US" w:eastAsia="zh-CN" w:bidi="ar-SA"/>
        </w:rPr>
        <w:t>推动应急体系建设共建共治共享</w:t>
      </w:r>
      <w:bookmarkEnd w:id="199"/>
      <w:bookmarkEnd w:id="200"/>
      <w:bookmarkEnd w:id="201"/>
    </w:p>
    <w:p>
      <w:pPr>
        <w:pStyle w:val="4"/>
        <w:keepNext w:val="0"/>
        <w:keepLines w:val="0"/>
        <w:pageBreakBefore w:val="0"/>
        <w:widowControl w:val="0"/>
        <w:numPr>
          <w:ilvl w:val="0"/>
          <w:numId w:val="6"/>
        </w:numPr>
        <w:kinsoku/>
        <w:wordWrap/>
        <w:overflowPunct/>
        <w:topLinePunct w:val="0"/>
        <w:autoSpaceDE/>
        <w:autoSpaceDN/>
        <w:bidi w:val="0"/>
        <w:adjustRightInd/>
        <w:snapToGrid/>
        <w:ind w:leftChars="200"/>
        <w:textAlignment w:val="auto"/>
        <w:outlineLvl w:val="1"/>
        <w:rPr>
          <w:rFonts w:hint="eastAsia"/>
          <w:lang w:eastAsia="zh-CN"/>
        </w:rPr>
      </w:pPr>
      <w:bookmarkStart w:id="202" w:name="_Toc284028020_WPSOffice_Level2"/>
      <w:bookmarkStart w:id="203" w:name="_Toc29620"/>
      <w:bookmarkStart w:id="204" w:name="_Toc1671918896_WPSOffice_Level2"/>
      <w:r>
        <w:rPr>
          <w:rFonts w:hint="eastAsia"/>
          <w:lang w:eastAsia="zh-CN"/>
        </w:rPr>
        <w:t>提升基层治理能力</w:t>
      </w:r>
      <w:bookmarkEnd w:id="202"/>
      <w:bookmarkEnd w:id="203"/>
      <w:bookmarkEnd w:id="204"/>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完善基层应急管理组织体系。强化网格化管理，加强人员力量配备，厘清基层应急管理权责事项，明确各部门及</w:t>
      </w:r>
      <w:r>
        <w:rPr>
          <w:rFonts w:hint="eastAsia" w:ascii="仿宋_GB2312" w:eastAsia="仿宋_GB2312" w:cstheme="minorBidi"/>
          <w:color w:val="000000"/>
          <w:kern w:val="2"/>
          <w:sz w:val="32"/>
          <w:szCs w:val="32"/>
          <w:lang w:val="en-US" w:eastAsia="zh-CN" w:bidi="ar-SA"/>
        </w:rPr>
        <w:t>镇</w:t>
      </w:r>
      <w:r>
        <w:rPr>
          <w:rFonts w:hint="eastAsia" w:ascii="仿宋_GB2312" w:eastAsia="仿宋_GB2312" w:hAnsiTheme="minorHAnsi" w:cstheme="minorBidi"/>
          <w:color w:val="000000"/>
          <w:kern w:val="2"/>
          <w:sz w:val="32"/>
          <w:szCs w:val="32"/>
          <w:lang w:val="en-US" w:eastAsia="zh-CN" w:bidi="ar-SA"/>
        </w:rPr>
        <w:t>(办事处)的应急管理权限。健全</w:t>
      </w:r>
      <w:r>
        <w:rPr>
          <w:rFonts w:hint="eastAsia" w:ascii="仿宋_GB2312" w:eastAsia="仿宋_GB2312" w:cstheme="minorBidi"/>
          <w:color w:val="000000"/>
          <w:kern w:val="2"/>
          <w:sz w:val="32"/>
          <w:szCs w:val="32"/>
          <w:lang w:val="en-US" w:eastAsia="zh-CN" w:bidi="ar-SA"/>
        </w:rPr>
        <w:t>镇</w:t>
      </w:r>
      <w:r>
        <w:rPr>
          <w:rFonts w:hint="eastAsia" w:ascii="仿宋_GB2312" w:eastAsia="仿宋_GB2312" w:hAnsiTheme="minorHAnsi" w:cstheme="minorBidi"/>
          <w:color w:val="000000"/>
          <w:kern w:val="2"/>
          <w:sz w:val="32"/>
          <w:szCs w:val="32"/>
          <w:lang w:val="en-US" w:eastAsia="zh-CN" w:bidi="ar-SA"/>
        </w:rPr>
        <w:t>(办事处)防灾减灾工作组织体系，实现有机构、有场所、有人员,管理运行规范化，细化</w:t>
      </w:r>
      <w:r>
        <w:rPr>
          <w:rFonts w:hint="eastAsia" w:ascii="仿宋_GB2312" w:eastAsia="仿宋_GB2312" w:cstheme="minorBidi"/>
          <w:color w:val="000000"/>
          <w:kern w:val="2"/>
          <w:sz w:val="32"/>
          <w:szCs w:val="32"/>
          <w:lang w:val="en-US" w:eastAsia="zh-CN" w:bidi="ar-SA"/>
        </w:rPr>
        <w:t>镇</w:t>
      </w:r>
      <w:r>
        <w:rPr>
          <w:rFonts w:hint="eastAsia" w:ascii="仿宋_GB2312" w:eastAsia="仿宋_GB2312" w:hAnsiTheme="minorHAnsi" w:cstheme="minorBidi"/>
          <w:color w:val="000000"/>
          <w:kern w:val="2"/>
          <w:sz w:val="32"/>
          <w:szCs w:val="32"/>
          <w:lang w:val="en-US" w:eastAsia="zh-CN" w:bidi="ar-SA"/>
        </w:rPr>
        <w:t>(办事处)应急预案，做好风险研判、预警、应对等工作。</w:t>
      </w:r>
    </w:p>
    <w:p>
      <w:pPr>
        <w:pStyle w:val="2"/>
        <w:spacing w:before="171" w:line="338" w:lineRule="auto"/>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加强基层应急救援队伍建设。加大应急救援装备物资配置标准，落实服务保障，加大各级专业应急救援队伍培育、评选力度，加强救援队伍装备配备与培训演练，提升综合救援能力。进一步推进灾害信息员队伍和防灾减灾救灾志愿者队伍建设，确保每个</w:t>
      </w:r>
      <w:r>
        <w:rPr>
          <w:rFonts w:hint="eastAsia" w:ascii="仿宋_GB2312" w:eastAsia="仿宋_GB2312" w:cstheme="minorBidi"/>
          <w:color w:val="000000"/>
          <w:kern w:val="2"/>
          <w:sz w:val="32"/>
          <w:szCs w:val="32"/>
          <w:lang w:val="en-US" w:eastAsia="zh-CN" w:bidi="ar-SA"/>
        </w:rPr>
        <w:t>镇</w:t>
      </w:r>
      <w:r>
        <w:rPr>
          <w:rFonts w:hint="eastAsia" w:ascii="仿宋_GB2312" w:eastAsia="仿宋_GB2312" w:hAnsiTheme="minorHAnsi" w:cstheme="minorBidi"/>
          <w:color w:val="000000"/>
          <w:kern w:val="2"/>
          <w:sz w:val="32"/>
          <w:szCs w:val="32"/>
          <w:lang w:val="en-US" w:eastAsia="zh-CN" w:bidi="ar-SA"/>
        </w:rPr>
        <w:t>（办事处）、村（社区）有1名以上灾害信息员，完善考核、奖惩、补助等办法。建立健全灾害信息员分级培训机制，提升灾情统计报送、台账管理以及评估核查等工作质量。加强防灾减灾宣教队伍建设,配强人员力量，注重学习培训，不断掌握新知识、熟悉新领域、开拓新视野，不断增强脚力、眼力、脑力、笔力，不断提升政治引领和组织协调能力。</w:t>
      </w:r>
    </w:p>
    <w:p>
      <w:pPr>
        <w:pStyle w:val="4"/>
        <w:keepNext w:val="0"/>
        <w:keepLines w:val="0"/>
        <w:pageBreakBefore w:val="0"/>
        <w:widowControl w:val="0"/>
        <w:numPr>
          <w:ilvl w:val="0"/>
          <w:numId w:val="6"/>
        </w:numPr>
        <w:kinsoku/>
        <w:wordWrap/>
        <w:overflowPunct/>
        <w:topLinePunct w:val="0"/>
        <w:autoSpaceDE/>
        <w:autoSpaceDN/>
        <w:bidi w:val="0"/>
        <w:adjustRightInd/>
        <w:snapToGrid/>
        <w:ind w:left="420" w:leftChars="200" w:firstLine="0" w:firstLineChars="0"/>
        <w:textAlignment w:val="auto"/>
        <w:outlineLvl w:val="1"/>
        <w:rPr>
          <w:rFonts w:hint="eastAsia"/>
          <w:lang w:val="en-US" w:eastAsia="zh-CN"/>
        </w:rPr>
      </w:pPr>
      <w:bookmarkStart w:id="205" w:name="_Toc2046244199_WPSOffice_Level2"/>
      <w:bookmarkStart w:id="206" w:name="_Toc21651"/>
      <w:bookmarkStart w:id="207" w:name="_Toc1311262882_WPSOffice_Level2"/>
      <w:r>
        <w:rPr>
          <w:rFonts w:hint="eastAsia"/>
          <w:lang w:val="en-US" w:eastAsia="zh-CN"/>
        </w:rPr>
        <w:t>加强安全文化建设</w:t>
      </w:r>
      <w:bookmarkEnd w:id="205"/>
      <w:bookmarkEnd w:id="206"/>
      <w:bookmarkEnd w:id="207"/>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实施全民安全生产宣传教育行动计划，制作发放《应急与安全知识手册》，引导公众践行安全生产生活方式。加强中小学安全教育师资人员的配备和培养，将安全生产内容纳入“开工第一课”“开学第一课”，鼓励中小学开办各种形式的安全教育课堂，强化基础阶段安全教育。推广“两微一端”新媒体平台。鼓励安全文化作品创作，丰富安全生产宣传产品，创新安全生产文化服务方式和手段，利用新媒体、自媒体开展安全生产公益宣传活动，固化“安全生产月”系列精品活动项目，普及安全知识，培育安全文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加强科普宣传教育基地建设。联合</w:t>
      </w:r>
      <w:r>
        <w:rPr>
          <w:rFonts w:hint="eastAsia" w:ascii="仿宋_GB2312" w:eastAsia="仿宋_GB2312"/>
          <w:sz w:val="32"/>
          <w:szCs w:val="32"/>
          <w:lang w:eastAsia="zh-CN"/>
        </w:rPr>
        <w:t>乌海市</w:t>
      </w:r>
      <w:r>
        <w:rPr>
          <w:rFonts w:hint="eastAsia" w:ascii="仿宋_GB2312" w:eastAsia="仿宋_GB2312"/>
          <w:sz w:val="32"/>
          <w:szCs w:val="32"/>
        </w:rPr>
        <w:t>教育局、</w:t>
      </w:r>
      <w:r>
        <w:rPr>
          <w:rFonts w:hint="eastAsia" w:ascii="仿宋_GB2312" w:eastAsia="仿宋_GB2312"/>
          <w:sz w:val="32"/>
          <w:szCs w:val="32"/>
          <w:lang w:eastAsia="zh-CN"/>
        </w:rPr>
        <w:t>消防救援、</w:t>
      </w:r>
      <w:r>
        <w:rPr>
          <w:rFonts w:hint="eastAsia" w:ascii="仿宋_GB2312" w:eastAsia="仿宋_GB2312"/>
          <w:sz w:val="32"/>
          <w:szCs w:val="32"/>
        </w:rPr>
        <w:t>科</w:t>
      </w:r>
      <w:r>
        <w:rPr>
          <w:rFonts w:hint="eastAsia" w:ascii="仿宋_GB2312" w:eastAsia="仿宋_GB2312"/>
          <w:sz w:val="32"/>
          <w:szCs w:val="32"/>
          <w:lang w:eastAsia="zh-CN"/>
        </w:rPr>
        <w:t>协</w:t>
      </w:r>
      <w:r>
        <w:rPr>
          <w:rFonts w:hint="eastAsia" w:ascii="仿宋_GB2312" w:eastAsia="仿宋_GB2312"/>
          <w:sz w:val="32"/>
          <w:szCs w:val="32"/>
        </w:rPr>
        <w:t>等相关部门和机构，制定防灾减灾科普工作的实施计划与安排，常态化宣传法律法规和应急安全科普知识，增强全民应急意识，提升公众安全素质，提高全社会防灾减灾救灾能力。大力培育和加强防灾减灾文化建设、提升社会公众防灾减灾意识。坚持以人民为中心的发展理念，加大防灾文化作品的创作，充分发挥“互联网+防灾减灾”传播平台优势，推动防灾减灾文化精品走进千家万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统筹谋划，重点活动扎实推进。充分利用“一日”（“5·12”</w:t>
      </w:r>
      <w:r>
        <w:rPr>
          <w:rFonts w:hint="eastAsia" w:ascii="仿宋_GB2312" w:eastAsia="仿宋_GB2312"/>
          <w:sz w:val="32"/>
          <w:szCs w:val="32"/>
          <w:lang w:eastAsia="zh-CN"/>
        </w:rPr>
        <w:t>全国</w:t>
      </w:r>
      <w:r>
        <w:rPr>
          <w:rFonts w:hint="eastAsia" w:ascii="仿宋_GB2312" w:eastAsia="仿宋_GB2312"/>
          <w:sz w:val="32"/>
          <w:szCs w:val="32"/>
        </w:rPr>
        <w:t>防灾减灾日）“一周”（“一法一条例宣传周”、“防灾减灾宣传周”）“一月”（“消防宣传月”）等固定宣传日；充分利用“两会”、“国庆”、防汛、防火</w:t>
      </w:r>
      <w:r>
        <w:rPr>
          <w:rFonts w:hint="eastAsia" w:ascii="仿宋_GB2312" w:eastAsia="仿宋_GB2312"/>
          <w:sz w:val="32"/>
          <w:szCs w:val="32"/>
          <w:lang w:eastAsia="zh-CN"/>
        </w:rPr>
        <w:t>、地震纪念日</w:t>
      </w:r>
      <w:r>
        <w:rPr>
          <w:rFonts w:hint="eastAsia" w:ascii="仿宋_GB2312" w:eastAsia="仿宋_GB2312"/>
          <w:sz w:val="32"/>
          <w:szCs w:val="32"/>
        </w:rPr>
        <w:t>等关键时节，借势发力，推动宣传工作落实；以宣传“五进”为主要抓手，创新宣教形式，推动宣传教育进企业、进家庭、进学校、进社区、进农</w:t>
      </w:r>
      <w:r>
        <w:rPr>
          <w:rFonts w:hint="eastAsia" w:ascii="仿宋_GB2312" w:eastAsia="仿宋_GB2312"/>
          <w:sz w:val="32"/>
          <w:szCs w:val="32"/>
          <w:lang w:eastAsia="zh-CN"/>
        </w:rPr>
        <w:t>区</w:t>
      </w:r>
      <w:r>
        <w:rPr>
          <w:rFonts w:hint="eastAsia" w:ascii="仿宋_GB2312" w:eastAsia="仿宋_GB2312"/>
          <w:sz w:val="32"/>
          <w:szCs w:val="32"/>
        </w:rPr>
        <w:t>。发挥传统媒体的主力军作用，发挥门户网站和新媒体的作用，积极开拓宣传新渠道。</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eastAsia"/>
          <w:lang w:val="en-US" w:eastAsia="zh-CN"/>
        </w:rPr>
      </w:pPr>
      <w:bookmarkStart w:id="208" w:name="_Toc1412747124_WPSOffice_Level2"/>
      <w:bookmarkStart w:id="209" w:name="_Toc1016428647_WPSOffice_Level2"/>
      <w:bookmarkStart w:id="210" w:name="_Toc10256"/>
      <w:r>
        <w:rPr>
          <w:rFonts w:hint="eastAsia"/>
          <w:lang w:val="en-US" w:eastAsia="zh-CN"/>
        </w:rPr>
        <w:t>（三）发挥社会与市场作用</w:t>
      </w:r>
      <w:bookmarkEnd w:id="208"/>
      <w:bookmarkEnd w:id="209"/>
      <w:bookmarkEnd w:id="210"/>
    </w:p>
    <w:p>
      <w:pPr>
        <w:pStyle w:val="2"/>
        <w:keepNext w:val="0"/>
        <w:keepLines w:val="0"/>
        <w:pageBreakBefore w:val="0"/>
        <w:widowControl w:val="0"/>
        <w:numPr>
          <w:ilvl w:val="0"/>
          <w:numId w:val="0"/>
        </w:numPr>
        <w:tabs>
          <w:tab w:val="left" w:pos="1279"/>
        </w:tabs>
        <w:kinsoku/>
        <w:wordWrap/>
        <w:overflowPunct/>
        <w:topLinePunct w:val="0"/>
        <w:autoSpaceDE/>
        <w:autoSpaceDN/>
        <w:bidi w:val="0"/>
        <w:adjustRightInd/>
        <w:snapToGrid/>
        <w:ind w:right="136" w:rightChars="0" w:firstLine="640" w:firstLineChars="200"/>
        <w:jc w:val="both"/>
        <w:textAlignment w:val="auto"/>
        <w:outlineLvl w:val="0"/>
        <w:rPr>
          <w:rFonts w:hint="eastAsia" w:ascii="黑体" w:eastAsia="黑体" w:hAnsiTheme="minorHAnsi" w:cstheme="minorBidi"/>
          <w:color w:val="000000"/>
          <w:kern w:val="2"/>
          <w:sz w:val="32"/>
          <w:szCs w:val="32"/>
          <w:lang w:val="en-US" w:eastAsia="zh-CN" w:bidi="ar-SA"/>
        </w:rPr>
      </w:pPr>
      <w:bookmarkStart w:id="211" w:name="_Toc7745"/>
      <w:r>
        <w:rPr>
          <w:rFonts w:hint="eastAsia" w:ascii="仿宋_GB2312" w:eastAsia="仿宋_GB2312"/>
          <w:sz w:val="32"/>
          <w:szCs w:val="32"/>
        </w:rPr>
        <w:t>建立企业安全信用评价和“黑名单”制度，将企业安全生产违法信息记入社会诚信档案，向社会公开。发布政府采购安全生产服务清单。鼓励</w:t>
      </w:r>
      <w:r>
        <w:rPr>
          <w:rFonts w:hint="eastAsia" w:ascii="仿宋_GB2312" w:eastAsia="仿宋_GB2312"/>
          <w:sz w:val="32"/>
          <w:szCs w:val="32"/>
          <w:lang w:eastAsia="zh-CN"/>
        </w:rPr>
        <w:t>引导</w:t>
      </w:r>
      <w:r>
        <w:rPr>
          <w:rFonts w:hint="eastAsia" w:ascii="仿宋_GB2312" w:eastAsia="仿宋_GB2312"/>
          <w:sz w:val="32"/>
          <w:szCs w:val="32"/>
        </w:rPr>
        <w:t>志愿者等社会力量开展经常性安全生产巡查、宣传等活动，健全社会组织、媒体、公众参与安全生产监督的激励机制。建立公众参与安全管理决策的有效渠道和合理机制，鼓励公众对政府安全生产工作、企业违法违规行为进行监督</w:t>
      </w:r>
      <w:r>
        <w:rPr>
          <w:rFonts w:hint="eastAsia" w:ascii="仿宋_GB2312" w:eastAsia="仿宋_GB2312"/>
          <w:sz w:val="32"/>
          <w:szCs w:val="32"/>
          <w:lang w:eastAsia="zh-CN"/>
        </w:rPr>
        <w:t>，</w:t>
      </w:r>
      <w:r>
        <w:rPr>
          <w:rFonts w:hint="eastAsia" w:ascii="仿宋_GB2312" w:eastAsia="仿宋_GB2312"/>
          <w:sz w:val="32"/>
          <w:szCs w:val="32"/>
        </w:rPr>
        <w:t>畅通举报渠道，严格举报受理处置反馈时限。充分利用“12350”安全生产热线和举报平台，建立安全生产举报闭环管理机制，健全违法举报奖励制度，调动社会力量广泛参与安全生产</w:t>
      </w:r>
      <w:r>
        <w:rPr>
          <w:rFonts w:hint="eastAsia" w:ascii="仿宋_GB2312" w:eastAsia="仿宋_GB2312"/>
          <w:sz w:val="32"/>
          <w:szCs w:val="32"/>
          <w:lang w:eastAsia="zh-CN"/>
        </w:rPr>
        <w:t>监督</w:t>
      </w:r>
      <w:r>
        <w:rPr>
          <w:rFonts w:hint="eastAsia" w:ascii="仿宋_GB2312" w:eastAsia="仿宋_GB2312"/>
          <w:sz w:val="32"/>
          <w:szCs w:val="32"/>
        </w:rPr>
        <w:t>。依法推动属于国家规定的高危行业、领域的生产经营单位强制投保安全生产责任保险，鼓励、支持其他行业领域生产经营单位投保。进一步规范全市安全生产责任保险事故预防技术服务，加大对安全生产责任保险事故预防费用的使用力度，积极开展旨在提高企业安全水平的安全教育培训、隐患排查治理以及信息化建设等相关服务。建立责任保险与安全生产互动机制，督促保险机构协助企业做好风险评估和隐患排查，帮助企业化解生产安全风险，充分发挥安全生产责任保险风险评估和事故预防功能，进一步压实企业主体责任。</w:t>
      </w:r>
      <w:bookmarkEnd w:id="211"/>
      <w:bookmarkStart w:id="212" w:name="_Toc12518"/>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bookmarkStart w:id="213" w:name="_Toc32894222_WPSOffice_Level1"/>
    </w:p>
    <w:p>
      <w:pPr>
        <w:pStyle w:val="2"/>
        <w:numPr>
          <w:ilvl w:val="0"/>
          <w:numId w:val="0"/>
        </w:numPr>
        <w:tabs>
          <w:tab w:val="left" w:pos="1279"/>
        </w:tabs>
        <w:ind w:right="138" w:rightChars="0"/>
        <w:jc w:val="center"/>
        <w:outlineLvl w:val="0"/>
        <w:rPr>
          <w:rFonts w:hint="eastAsia" w:ascii="黑体" w:eastAsia="黑体" w:hAnsiTheme="minorHAnsi" w:cstheme="minorBidi"/>
          <w:b/>
          <w:bCs/>
          <w:color w:val="000000"/>
          <w:kern w:val="2"/>
          <w:sz w:val="32"/>
          <w:szCs w:val="32"/>
          <w:lang w:val="en-US" w:eastAsia="zh-CN" w:bidi="ar-SA"/>
        </w:rPr>
      </w:pPr>
      <w:bookmarkStart w:id="214" w:name="_Toc804184084_WPSOffice_Level1"/>
      <w:r>
        <w:rPr>
          <w:rFonts w:hint="eastAsia" w:ascii="黑体" w:eastAsia="黑体" w:hAnsiTheme="minorHAnsi" w:cstheme="minorBidi"/>
          <w:b/>
          <w:bCs/>
          <w:color w:val="000000"/>
          <w:kern w:val="2"/>
          <w:sz w:val="32"/>
          <w:szCs w:val="32"/>
          <w:lang w:val="en-US" w:eastAsia="zh-CN" w:bidi="ar-SA"/>
        </w:rPr>
        <w:t>第十章</w:t>
      </w:r>
      <w:r>
        <w:rPr>
          <w:rFonts w:hint="eastAsia" w:ascii="黑体" w:eastAsia="黑体" w:cstheme="minorBidi"/>
          <w:b/>
          <w:bCs/>
          <w:color w:val="000000"/>
          <w:kern w:val="2"/>
          <w:sz w:val="32"/>
          <w:szCs w:val="32"/>
          <w:lang w:val="en-US" w:eastAsia="zh-CN" w:bidi="ar-SA"/>
        </w:rPr>
        <w:t xml:space="preserve"> </w:t>
      </w:r>
      <w:r>
        <w:rPr>
          <w:rFonts w:hint="eastAsia" w:ascii="黑体" w:eastAsia="黑体" w:hAnsiTheme="minorHAnsi" w:cstheme="minorBidi"/>
          <w:b/>
          <w:bCs/>
          <w:color w:val="000000"/>
          <w:kern w:val="2"/>
          <w:sz w:val="32"/>
          <w:szCs w:val="32"/>
          <w:lang w:val="en-US" w:eastAsia="zh-CN" w:bidi="ar-SA"/>
        </w:rPr>
        <w:t>重点建设工程和项目</w:t>
      </w:r>
      <w:bookmarkEnd w:id="212"/>
      <w:bookmarkEnd w:id="213"/>
      <w:bookmarkEnd w:id="214"/>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15" w:name="_Toc958"/>
      <w:bookmarkStart w:id="216" w:name="_Toc1134340647_WPSOffice_Level2"/>
      <w:bookmarkStart w:id="217" w:name="_Toc1713792506_WPSOffice_Level2"/>
      <w:r>
        <w:rPr>
          <w:rFonts w:hint="eastAsia"/>
          <w:lang w:val="en-US" w:eastAsia="zh-CN"/>
        </w:rPr>
        <w:t>（一）应急指挥系统建设项目</w:t>
      </w:r>
      <w:bookmarkEnd w:id="215"/>
      <w:bookmarkEnd w:id="216"/>
      <w:bookmarkEnd w:id="217"/>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00"/>
        <w:textAlignment w:val="auto"/>
        <w:rPr>
          <w:rFonts w:hint="eastAsia" w:ascii="仿宋_GB2312" w:eastAsia="仿宋_GB2312" w:cs="仿宋_GB2312"/>
          <w:sz w:val="32"/>
          <w:szCs w:val="32"/>
          <w:lang w:eastAsia="zh-CN"/>
        </w:rPr>
      </w:pPr>
      <w:r>
        <w:rPr>
          <w:rFonts w:hint="eastAsia" w:ascii="仿宋_GB2312" w:eastAsia="仿宋_GB2312" w:hAnsiTheme="minorHAnsi" w:cstheme="minorBidi"/>
          <w:color w:val="auto"/>
          <w:kern w:val="2"/>
          <w:sz w:val="32"/>
          <w:szCs w:val="32"/>
          <w:lang w:val="en-US" w:eastAsia="zh-CN" w:bidi="ar-SA"/>
        </w:rPr>
        <w:t>持续建设市、区</w:t>
      </w:r>
      <w:r>
        <w:rPr>
          <w:rFonts w:hint="eastAsia" w:ascii="仿宋_GB2312" w:eastAsia="仿宋_GB2312" w:cstheme="minorBidi"/>
          <w:color w:val="auto"/>
          <w:kern w:val="2"/>
          <w:sz w:val="32"/>
          <w:szCs w:val="32"/>
          <w:lang w:val="en-US" w:eastAsia="zh-CN" w:bidi="ar-SA"/>
        </w:rPr>
        <w:t>两</w:t>
      </w:r>
      <w:r>
        <w:rPr>
          <w:rFonts w:hint="eastAsia" w:ascii="仿宋_GB2312" w:eastAsia="仿宋_GB2312" w:hAnsiTheme="minorHAnsi" w:cstheme="minorBidi"/>
          <w:color w:val="auto"/>
          <w:kern w:val="2"/>
          <w:sz w:val="32"/>
          <w:szCs w:val="32"/>
          <w:lang w:val="en-US" w:eastAsia="zh-CN" w:bidi="ar-SA"/>
        </w:rPr>
        <w:t>级具有监测监控、预测预警、信息报告、综合研判、辅助决策、调度指挥和总结评估功能的应急指挥平台，实现上级应急指挥平台与市、区应急指挥平台之间的互联互通。</w:t>
      </w:r>
      <w:r>
        <w:rPr>
          <w:rFonts w:hint="eastAsia" w:ascii="仿宋_GB2312" w:eastAsia="仿宋_GB2312" w:hAnsiTheme="minorHAnsi" w:cstheme="minorBidi"/>
          <w:kern w:val="2"/>
          <w:sz w:val="32"/>
          <w:szCs w:val="32"/>
          <w:lang w:val="en-US" w:eastAsia="zh-CN" w:bidi="ar-SA"/>
        </w:rPr>
        <w:t>重点围绕应急指挥场所建设、移动指挥平台建设、极端情况通讯保障能力建设等，按照上级要求推动应急指挥综合化、高效化、远程化、立体化发展。</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18" w:name="_Toc1195475187_WPSOffice_Level2"/>
      <w:bookmarkStart w:id="219" w:name="_Toc27532"/>
      <w:bookmarkStart w:id="220" w:name="_Toc395180304_WPSOffice_Level2"/>
      <w:r>
        <w:rPr>
          <w:rFonts w:hint="eastAsia"/>
          <w:lang w:val="en-US" w:eastAsia="zh-CN"/>
        </w:rPr>
        <w:t>（二）乌海市危险化学品应急救援基地建设项目</w:t>
      </w:r>
      <w:bookmarkEnd w:id="218"/>
      <w:bookmarkEnd w:id="219"/>
      <w:bookmarkEnd w:id="220"/>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在内蒙古自治区支持下</w:t>
      </w:r>
      <w:r>
        <w:rPr>
          <w:rFonts w:hint="eastAsia" w:ascii="仿宋_GB2312" w:eastAsia="仿宋_GB2312" w:hAnsiTheme="minorHAnsi" w:cstheme="minorBidi"/>
          <w:kern w:val="2"/>
          <w:sz w:val="32"/>
          <w:szCs w:val="32"/>
          <w:lang w:val="en-US" w:eastAsia="zh-CN" w:bidi="ar-SA"/>
        </w:rPr>
        <w:t>，积极推进乌海市危险化学品应急救援基地项目建设，</w:t>
      </w:r>
      <w:r>
        <w:rPr>
          <w:rFonts w:hint="eastAsia" w:ascii="仿宋_GB2312" w:eastAsia="仿宋_GB2312" w:cstheme="minorBidi"/>
          <w:kern w:val="2"/>
          <w:sz w:val="32"/>
          <w:szCs w:val="32"/>
          <w:lang w:val="en-US" w:eastAsia="zh-CN" w:bidi="ar-SA"/>
        </w:rPr>
        <w:t>视情况依托国家能源集团煤焦化有限责任公司西来峰分公司现有资源，</w:t>
      </w:r>
      <w:r>
        <w:rPr>
          <w:rFonts w:hint="eastAsia" w:ascii="仿宋_GB2312" w:eastAsia="仿宋_GB2312" w:hAnsiTheme="minorHAnsi" w:cstheme="minorBidi"/>
          <w:kern w:val="2"/>
          <w:sz w:val="32"/>
          <w:szCs w:val="32"/>
          <w:lang w:val="en-US" w:eastAsia="zh-CN" w:bidi="ar-SA"/>
        </w:rPr>
        <w:t>努力打造</w:t>
      </w:r>
      <w:r>
        <w:rPr>
          <w:rFonts w:hint="eastAsia" w:ascii="仿宋_GB2312" w:eastAsia="仿宋_GB2312" w:cstheme="minorBidi"/>
          <w:kern w:val="2"/>
          <w:sz w:val="32"/>
          <w:szCs w:val="32"/>
          <w:lang w:val="en-US" w:eastAsia="zh-CN" w:bidi="ar-SA"/>
        </w:rPr>
        <w:t>辐射周边地区</w:t>
      </w:r>
      <w:r>
        <w:rPr>
          <w:rFonts w:hint="eastAsia" w:ascii="仿宋_GB2312" w:eastAsia="仿宋_GB2312" w:hAnsiTheme="minorHAnsi" w:cstheme="minorBidi"/>
          <w:kern w:val="2"/>
          <w:sz w:val="32"/>
          <w:szCs w:val="32"/>
          <w:lang w:val="en-US" w:eastAsia="zh-CN" w:bidi="ar-SA"/>
        </w:rPr>
        <w:t>危险化学品产业重点聚集地区，建成布局合理、品种齐全、数量充足、管理规范的危险化学品事故应急救援物资储备库。根据乌海及周边地区化工园区多、危化生产企业多、重大危险源多，社会安全风险大等特点，储备应急救援物资，以便</w:t>
      </w:r>
      <w:r>
        <w:rPr>
          <w:rFonts w:hint="eastAsia" w:ascii="仿宋_GB2312" w:eastAsia="仿宋_GB2312" w:cstheme="minorBidi"/>
          <w:kern w:val="2"/>
          <w:sz w:val="32"/>
          <w:szCs w:val="32"/>
          <w:lang w:val="en-US" w:eastAsia="zh-CN" w:bidi="ar-SA"/>
        </w:rPr>
        <w:t>内蒙古自治区</w:t>
      </w:r>
      <w:r>
        <w:rPr>
          <w:rFonts w:hint="eastAsia" w:ascii="仿宋_GB2312" w:eastAsia="仿宋_GB2312" w:hAnsiTheme="minorHAnsi" w:cstheme="minorBidi"/>
          <w:kern w:val="2"/>
          <w:sz w:val="32"/>
          <w:szCs w:val="32"/>
          <w:lang w:val="en-US" w:eastAsia="zh-CN" w:bidi="ar-SA"/>
        </w:rPr>
        <w:t>、周边地市统一进行应急救援物资的储备和调用，真正做到有备无患。</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21" w:name="_Toc20750"/>
      <w:bookmarkStart w:id="222" w:name="_Toc43126739_WPSOffice_Level2"/>
      <w:bookmarkStart w:id="223" w:name="_Toc757063068_WPSOffice_Level2"/>
      <w:r>
        <w:rPr>
          <w:rFonts w:hint="eastAsia"/>
          <w:lang w:val="en-US" w:eastAsia="zh-CN"/>
        </w:rPr>
        <w:t>（三）危险化学品企业安全生产标准化建设工程</w:t>
      </w:r>
      <w:bookmarkEnd w:id="221"/>
      <w:bookmarkEnd w:id="222"/>
      <w:bookmarkEnd w:id="223"/>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推动过程安全管理和隐患排查治理闭环管理在企业安全生产标准化运行过程中的有效实施，规范评审过程，严格评审，提升企业加强安全管理的内生动力。推动危险化学品企业开展安全生产标准化建设工作，到2025年，鼓励涉及“两重点一重大”的大型危险化学品生产企业达到二级以上水平</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力争创建一级标准化企业。</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24" w:name="_Toc370492943_WPSOffice_Level2"/>
      <w:bookmarkStart w:id="225" w:name="_Toc1167234869_WPSOffice_Level2"/>
      <w:r>
        <w:rPr>
          <w:rFonts w:hint="eastAsia"/>
          <w:lang w:val="en-US" w:eastAsia="zh-CN"/>
        </w:rPr>
        <w:t>（四）化工园区安全管理一体化建设工程</w:t>
      </w:r>
      <w:bookmarkEnd w:id="224"/>
      <w:bookmarkEnd w:id="225"/>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持续推动化工园区开展安全管理一体化建设，全面开展化工园区区域定量安全风险评估，科学确定区域安全风险等级和风险容量，用信息化、智能化手段建设一体化安全管理平台，强化安全风险管控和应急救援，提升园区本质安全水平，指导建立安全管理一体化示范园区。</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26" w:name="_Toc1387234323_WPSOffice_Level2"/>
      <w:bookmarkStart w:id="227" w:name="_Toc1712456684_WPSOffice_Level2"/>
      <w:r>
        <w:rPr>
          <w:rFonts w:hint="eastAsia"/>
          <w:lang w:val="en-US" w:eastAsia="zh-CN"/>
        </w:rPr>
        <w:t>（五）化工和危险化学品企业安全人才培养工程</w:t>
      </w:r>
      <w:bookmarkEnd w:id="226"/>
      <w:bookmarkEnd w:id="227"/>
    </w:p>
    <w:p>
      <w:pPr>
        <w:ind w:firstLine="640" w:firstLineChars="200"/>
        <w:rPr>
          <w:rFonts w:hint="eastAsia"/>
          <w:lang w:val="en-US" w:eastAsia="zh-CN"/>
        </w:rPr>
      </w:pPr>
      <w:r>
        <w:rPr>
          <w:rFonts w:hint="eastAsia" w:ascii="仿宋_GB2312" w:eastAsia="仿宋_GB2312" w:hAnsiTheme="minorHAnsi" w:cstheme="minorBidi"/>
          <w:kern w:val="2"/>
          <w:sz w:val="32"/>
          <w:szCs w:val="32"/>
          <w:lang w:val="en-US" w:eastAsia="zh-CN" w:bidi="ar-SA"/>
        </w:rPr>
        <w:t>推动化工、安全及化工安全复合型人才的培养工作，建设化工安全培训、专业实训和实践教育基地，通过定向培养、校企合作等方式，培养高素质化工安全人才。</w:t>
      </w:r>
      <w:bookmarkStart w:id="228" w:name="_Toc25906"/>
      <w:bookmarkStart w:id="229" w:name="_Toc26366"/>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30" w:name="_Toc1533078208_WPSOffice_Level2"/>
      <w:bookmarkStart w:id="231" w:name="_Toc1372905194_WPSOffice_Level2"/>
      <w:r>
        <w:rPr>
          <w:rFonts w:hint="eastAsia"/>
          <w:lang w:val="en-US" w:eastAsia="zh-CN"/>
        </w:rPr>
        <w:t>（六）灾害风险调查和重点隐患排查工程</w:t>
      </w:r>
      <w:bookmarkEnd w:id="228"/>
      <w:bookmarkEnd w:id="229"/>
      <w:bookmarkEnd w:id="230"/>
      <w:bookmarkEnd w:id="231"/>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组织开展乌海市第一次全国自然灾害综合风险普查工作。针对地震灾害、地质灾害、气象灾害、水旱灾害、森林和草原火灾等我</w:t>
      </w:r>
      <w:r>
        <w:rPr>
          <w:rFonts w:hint="eastAsia" w:ascii="仿宋_GB2312" w:eastAsia="仿宋_GB2312" w:cstheme="minorBidi"/>
          <w:kern w:val="2"/>
          <w:sz w:val="32"/>
          <w:szCs w:val="32"/>
          <w:lang w:val="en-US" w:eastAsia="zh-CN" w:bidi="ar-SA"/>
        </w:rPr>
        <w:t>市</w:t>
      </w:r>
      <w:r>
        <w:rPr>
          <w:rFonts w:hint="eastAsia" w:ascii="仿宋_GB2312" w:eastAsia="仿宋_GB2312" w:hAnsiTheme="minorHAnsi" w:cstheme="minorBidi"/>
          <w:kern w:val="2"/>
          <w:sz w:val="32"/>
          <w:szCs w:val="32"/>
          <w:lang w:val="en-US" w:eastAsia="zh-CN" w:bidi="ar-SA"/>
        </w:rPr>
        <w:t>主要自然灾害类型，开展主要自然灾害致灾调查与评估，人口、房屋、基础设施、公共服务系统、三次产业、资源和环境等承灾体调查与评估，历史灾害调查与评估，综合减灾资源（能力）调查与评估，重点隐患调查与评估，配合</w:t>
      </w:r>
      <w:r>
        <w:rPr>
          <w:rFonts w:hint="eastAsia" w:ascii="仿宋_GB2312" w:eastAsia="仿宋_GB2312" w:cstheme="minorBidi"/>
          <w:kern w:val="2"/>
          <w:sz w:val="32"/>
          <w:szCs w:val="32"/>
          <w:lang w:val="en-US" w:eastAsia="zh-CN" w:bidi="ar-SA"/>
        </w:rPr>
        <w:t>内蒙古自治区</w:t>
      </w:r>
      <w:r>
        <w:rPr>
          <w:rFonts w:hint="eastAsia" w:ascii="仿宋_GB2312" w:eastAsia="仿宋_GB2312" w:hAnsiTheme="minorHAnsi" w:cstheme="minorBidi"/>
          <w:kern w:val="2"/>
          <w:sz w:val="32"/>
          <w:szCs w:val="32"/>
          <w:lang w:val="en-US" w:eastAsia="zh-CN" w:bidi="ar-SA"/>
        </w:rPr>
        <w:t>完成主要灾害风险评估与区划以及灾害综合风险评估与区划，</w:t>
      </w:r>
      <w:r>
        <w:rPr>
          <w:rFonts w:hint="eastAsia" w:ascii="仿宋_GB2312" w:eastAsia="仿宋_GB2312" w:cstheme="minorBidi"/>
          <w:kern w:val="2"/>
          <w:sz w:val="32"/>
          <w:szCs w:val="32"/>
          <w:lang w:val="en-US" w:eastAsia="zh-CN" w:bidi="ar-SA"/>
        </w:rPr>
        <w:t>依据</w:t>
      </w:r>
      <w:r>
        <w:rPr>
          <w:rFonts w:hint="eastAsia" w:ascii="仿宋_GB2312" w:eastAsia="仿宋_GB2312" w:hAnsiTheme="minorHAnsi" w:cstheme="minorBidi"/>
          <w:kern w:val="2"/>
          <w:sz w:val="32"/>
          <w:szCs w:val="32"/>
          <w:lang w:val="en-US" w:eastAsia="zh-CN" w:bidi="ar-SA"/>
        </w:rPr>
        <w:t>灾害综合防治区划图，汇总普查成果。</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32" w:name="_Toc1657970501_WPSOffice_Level2"/>
      <w:bookmarkStart w:id="233" w:name="_Toc111802367_WPSOffice_Level2"/>
      <w:bookmarkStart w:id="234" w:name="_Toc5951"/>
      <w:bookmarkStart w:id="235" w:name="_Toc19161"/>
      <w:r>
        <w:rPr>
          <w:rFonts w:hint="eastAsia"/>
          <w:lang w:val="en-US" w:eastAsia="zh-CN"/>
        </w:rPr>
        <w:t>（七）自然灾害监测预警信息化工程</w:t>
      </w:r>
      <w:bookmarkEnd w:id="232"/>
      <w:bookmarkEnd w:id="233"/>
      <w:bookmarkEnd w:id="234"/>
      <w:bookmarkEnd w:id="235"/>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以地震、地质灾害、气象灾害、水旱灾害、森林草原火灾等自然灾害监测监控数据为基础，建设乌海市自然灾害综合监测预警系统，开展自然灾害综合监测预警业务，提升灾害综合风险评估和预报预警能力。加快推进自然灾害风险监测预警感知网络建设，主要包括森林草原火险火情的感知网络建设和地震、地质、水旱和气象等自然灾害数据的采集汇聚，为自然灾害综合监测预警系统提供数据源；健全自然灾害预警预报系统，完善突发事件预警信息发布系统。</w:t>
      </w:r>
      <w:bookmarkStart w:id="236" w:name="_Toc20423"/>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37" w:name="_Toc22326"/>
      <w:bookmarkStart w:id="238" w:name="_Toc797156005_WPSOffice_Level2"/>
      <w:bookmarkStart w:id="239" w:name="_Toc104413391_WPSOffice_Level2"/>
      <w:r>
        <w:rPr>
          <w:rFonts w:hint="eastAsia"/>
          <w:lang w:val="en-US" w:eastAsia="zh-CN"/>
        </w:rPr>
        <w:t>（八）森林草原防灭火能力提升工程</w:t>
      </w:r>
      <w:bookmarkEnd w:id="236"/>
      <w:bookmarkEnd w:id="237"/>
      <w:bookmarkEnd w:id="238"/>
      <w:bookmarkEnd w:id="239"/>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着重加强火险预警监测。建立完善本级火险预警共享平台、雷电预警共享平台，及时共享掌握各地火险情况和等级。加强扑火通信指挥系统建设。建立完善本级森林草原防灭火通信指挥网络平台，配备野外综合通信指挥车，纳入总体应急救援通信网络和指挥系统，实现热点定位、火情实况传输、火场绘制、态势模拟、调度管理、通信联络、扑救指挥为一体的数字化、可视化指挥功能。加强移动、联通、电信三大公网建设，力争林区防灭火重点区域公网覆盖率增加30%以上。建设完善火场卫星通信系统、短波超短波通信系统，实现火场数字化、可视化、适时化通信。</w:t>
      </w:r>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加强队伍机具装备建设。加大“市-区-</w:t>
      </w:r>
      <w:r>
        <w:rPr>
          <w:rFonts w:hint="eastAsia" w:ascii="仿宋_GB2312" w:eastAsia="仿宋_GB2312" w:cstheme="minorBidi"/>
          <w:kern w:val="2"/>
          <w:sz w:val="32"/>
          <w:szCs w:val="32"/>
          <w:lang w:val="en-US" w:eastAsia="zh-CN" w:bidi="ar-SA"/>
        </w:rPr>
        <w:t>镇</w:t>
      </w:r>
      <w:r>
        <w:rPr>
          <w:rFonts w:hint="eastAsia" w:ascii="仿宋_GB2312" w:eastAsia="仿宋_GB2312" w:hAnsiTheme="minorHAnsi" w:cstheme="minorBidi"/>
          <w:kern w:val="2"/>
          <w:sz w:val="32"/>
          <w:szCs w:val="32"/>
          <w:lang w:val="en-US" w:eastAsia="zh-CN" w:bidi="ar-SA"/>
        </w:rPr>
        <w:t>（办事处）”三级扑火救援队伍建设力度，配建队伍营房，购置相应的机具、常规装备、大型装备。组建军队、民兵预备役、公安特警应急救援和灭火队伍，配备相应机具、装备，全面提升扑火救援综合能力。重点培育和发展轻型履带多功能消防救援车、新型履带式涡喷特种消防装备、云梯消防车、举高喷射消防车、A类泡沫消防车、抢险救援消防车等消防装备。</w:t>
      </w:r>
      <w:bookmarkStart w:id="240" w:name="_Toc12754"/>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41" w:name="_Toc19296"/>
      <w:bookmarkStart w:id="242" w:name="_Toc74768498_WPSOffice_Level2"/>
      <w:bookmarkStart w:id="243" w:name="_Toc985087064_WPSOffice_Level2"/>
      <w:r>
        <w:rPr>
          <w:rFonts w:hint="eastAsia"/>
          <w:lang w:val="en-US" w:eastAsia="zh-CN"/>
        </w:rPr>
        <w:t>（九）防震减灾能力提升工程</w:t>
      </w:r>
      <w:bookmarkEnd w:id="241"/>
      <w:bookmarkEnd w:id="242"/>
      <w:bookmarkEnd w:id="243"/>
    </w:p>
    <w:p>
      <w:pPr>
        <w:ind w:firstLine="640" w:firstLineChars="200"/>
        <w:rPr>
          <w:rFonts w:hint="eastAsia"/>
          <w:lang w:val="en-US" w:eastAsia="zh-CN"/>
        </w:rPr>
      </w:pPr>
      <w:r>
        <w:rPr>
          <w:rFonts w:hint="eastAsia" w:ascii="仿宋_GB2312" w:eastAsia="仿宋_GB2312" w:hAnsiTheme="minorHAnsi" w:cstheme="minorBidi"/>
          <w:kern w:val="2"/>
          <w:sz w:val="32"/>
          <w:szCs w:val="32"/>
          <w:lang w:val="en-US" w:eastAsia="zh-CN" w:bidi="ar-SA"/>
        </w:rPr>
        <w:t>建设乌海市甘德尔地震台，以现有乌海市及周边地区地震台网为基础建设震情信息平台，有效提升我市地震监测预测水平、震情跟踪研判及速报能力，及时、准确为政府震后应急指挥决策提供科学依据。</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eastAsia"/>
          <w:lang w:val="en-US" w:eastAsia="zh-CN"/>
        </w:rPr>
      </w:pPr>
      <w:bookmarkStart w:id="244" w:name="_Toc30851"/>
      <w:bookmarkStart w:id="245" w:name="_Toc1452439321_WPSOffice_Level2"/>
      <w:bookmarkStart w:id="246" w:name="_Toc386764830_WPSOffice_Level2"/>
      <w:r>
        <w:rPr>
          <w:rFonts w:hint="eastAsia"/>
          <w:lang w:val="en-US" w:eastAsia="zh-CN"/>
        </w:rPr>
        <w:t>（十）防汛抗旱水利提升工程</w:t>
      </w:r>
      <w:bookmarkEnd w:id="240"/>
      <w:bookmarkEnd w:id="244"/>
      <w:bookmarkEnd w:id="245"/>
      <w:bookmarkEnd w:id="24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针对当前存在的隐患，加强全市防汛抗旱保障能力建设。加大对乌海市防汛抗旱指挥财政资金投入，</w:t>
      </w:r>
      <w:r>
        <w:rPr>
          <w:rFonts w:hint="eastAsia" w:ascii="仿宋_GB2312" w:eastAsia="仿宋_GB2312" w:cstheme="minorBidi"/>
          <w:kern w:val="2"/>
          <w:sz w:val="32"/>
          <w:szCs w:val="32"/>
          <w:lang w:val="en-US" w:eastAsia="zh-CN" w:bidi="ar-SA"/>
        </w:rPr>
        <w:t>加强</w:t>
      </w:r>
      <w:r>
        <w:rPr>
          <w:rFonts w:hint="eastAsia" w:ascii="仿宋_GB2312" w:eastAsia="仿宋_GB2312" w:hAnsiTheme="minorHAnsi" w:cstheme="minorBidi"/>
          <w:kern w:val="2"/>
          <w:sz w:val="32"/>
          <w:szCs w:val="32"/>
          <w:lang w:val="en-US" w:eastAsia="zh-CN" w:bidi="ar-SA"/>
        </w:rPr>
        <w:t>市</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区两级防汛抗旱指挥装备配备能力。建立乌海市防汛抗旱物资储备管理机制，建立健全物资计划、储备、更新、调拨、配送制度，满足防汛抗旱应急需要。加强基层装备配备能力和指挥系统建设，为市</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区两级配备卫星电话、无人机、喷射防汛救生艇用于凌汛期的巡河、救援、抢险工作，以提升各级防指防汛抗旱抢险应急能力。建设基层防汛抗旱物资器材保障项目，采购牵引水罐车、牵引式柴油机水泵、牵引式汽油机水泵。</w:t>
      </w:r>
      <w:bookmarkStart w:id="247" w:name="_Toc20158"/>
      <w:r>
        <w:rPr>
          <w:rFonts w:hint="eastAsia" w:ascii="仿宋_GB2312" w:eastAsia="仿宋_GB2312" w:cstheme="minorBidi"/>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 在做好现有防汛物资储备管理的基础上，建立防汛物资装备第三方服务机制，做好物资装备保障工作。整合现有山洪灾害监测预警系统和水利工程动态监管系统平台，确保各类监测站点及平台在汛期正常运行。强化预案修编，组织各</w:t>
      </w:r>
      <w:r>
        <w:rPr>
          <w:rFonts w:hint="eastAsia" w:ascii="仿宋_GB2312" w:eastAsia="仿宋_GB2312" w:cstheme="minorBidi"/>
          <w:kern w:val="2"/>
          <w:sz w:val="32"/>
          <w:szCs w:val="32"/>
          <w:lang w:val="en-US" w:eastAsia="zh-CN" w:bidi="ar-SA"/>
        </w:rPr>
        <w:t>镇</w:t>
      </w:r>
      <w:r>
        <w:rPr>
          <w:rFonts w:hint="eastAsia" w:ascii="仿宋_GB2312" w:eastAsia="仿宋_GB2312" w:hAnsiTheme="minorHAnsi" w:cstheme="minorBidi"/>
          <w:kern w:val="2"/>
          <w:sz w:val="32"/>
          <w:szCs w:val="32"/>
          <w:lang w:val="en-US" w:eastAsia="zh-CN" w:bidi="ar-SA"/>
        </w:rPr>
        <w:t xml:space="preserve">、涉水旅游景区、在建涉水工程及具有防洪任务的企事业单位对各类防汛应急预案进行修编，切实提高预案的科学性和可操作性。 </w:t>
      </w:r>
      <w:r>
        <w:rPr>
          <w:rFonts w:hint="eastAsia" w:ascii="仿宋_GB2312" w:eastAsia="仿宋_GB2312" w:cstheme="minorBidi"/>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 w:hAnsi="楷体" w:eastAsia="楷体" w:cs="楷体"/>
          <w:b/>
          <w:bCs/>
          <w:kern w:val="2"/>
          <w:sz w:val="32"/>
          <w:szCs w:val="32"/>
          <w:lang w:val="en-US" w:eastAsia="zh-CN" w:bidi="zh-CN"/>
        </w:rPr>
      </w:pPr>
      <w:bookmarkStart w:id="248" w:name="_Toc259474858_WPSOffice_Level2"/>
      <w:bookmarkStart w:id="249" w:name="_Toc1359491569_WPSOffice_Level2"/>
      <w:r>
        <w:rPr>
          <w:rFonts w:hint="eastAsia" w:ascii="楷体" w:hAnsi="楷体" w:eastAsia="楷体" w:cs="楷体"/>
          <w:b/>
          <w:bCs/>
          <w:kern w:val="2"/>
          <w:sz w:val="32"/>
          <w:szCs w:val="32"/>
          <w:lang w:val="en-US" w:eastAsia="zh-CN" w:bidi="zh-CN"/>
        </w:rPr>
        <w:t>（十一）应急物资储备库及场所建设项目</w:t>
      </w:r>
      <w:bookmarkEnd w:id="247"/>
      <w:bookmarkEnd w:id="248"/>
      <w:bookmarkEnd w:id="249"/>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建立健全以乌海市应急物资保障系统为枢纽，以市、区两级应急物资保障系统为支撑的应急物资储备保障能力体系，完善重要应急物资的生产、储备、调拨和紧急配送体系，社会和家庭应急物资储备逐步加强，有效满足处置突发事件的应急需要。乌海市发改委建设1个乌海市应急物资和装备综合储备库及场所，应急物资储备库及场所建设内容主要包括：库房、生产辅助用房、管理用房和附属用房。</w:t>
      </w:r>
      <w:bookmarkStart w:id="250" w:name="_Toc28000"/>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 w:hAnsi="楷体" w:eastAsia="楷体" w:cs="楷体"/>
          <w:b/>
          <w:bCs/>
          <w:kern w:val="2"/>
          <w:sz w:val="32"/>
          <w:szCs w:val="32"/>
          <w:lang w:val="en-US" w:eastAsia="zh-CN" w:bidi="zh-CN"/>
        </w:rPr>
      </w:pPr>
      <w:bookmarkStart w:id="251" w:name="_Toc923849203_WPSOffice_Level2"/>
      <w:bookmarkStart w:id="252" w:name="_Toc497220962_WPSOffice_Level2"/>
      <w:r>
        <w:rPr>
          <w:rFonts w:hint="eastAsia" w:ascii="楷体" w:hAnsi="楷体" w:eastAsia="楷体" w:cs="楷体"/>
          <w:b/>
          <w:bCs/>
          <w:kern w:val="2"/>
          <w:sz w:val="32"/>
          <w:szCs w:val="32"/>
          <w:lang w:val="en-US" w:eastAsia="zh-CN" w:bidi="zh-CN"/>
        </w:rPr>
        <w:t>（十二）基层防灾减灾能力提升工程</w:t>
      </w:r>
      <w:bookmarkEnd w:id="250"/>
      <w:bookmarkEnd w:id="251"/>
      <w:bookmarkEnd w:id="252"/>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eastAsia="黑体" w:hAnsiTheme="minorHAnsi" w:cstheme="minorBidi"/>
          <w:color w:val="000000"/>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结合第一次全国自然灾害综合风险普查,提升基层消防救援能力，推进灾害风险网格化管理。推进农村地区特别是多灾易灾地区应急广播大喇叭系统建设,强化“村村响”防灾减灾救灾实际应用,开展农村应急广播使用人员培训和信息发布演练。加强新技术在基层防灾减灾工作中的应用普及,建立具备在线学习、业务交流、经验分享与专家技术咨询功能的网络支持平台。</w:t>
      </w: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bookmarkStart w:id="253" w:name="_Toc31916"/>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both"/>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both"/>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both"/>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both"/>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both"/>
        <w:outlineLvl w:val="0"/>
        <w:rPr>
          <w:rFonts w:hint="eastAsia" w:ascii="黑体" w:eastAsia="黑体" w:hAnsiTheme="minorHAnsi" w:cstheme="minorBidi"/>
          <w:color w:val="000000"/>
          <w:kern w:val="2"/>
          <w:sz w:val="32"/>
          <w:szCs w:val="32"/>
          <w:lang w:val="en-US" w:eastAsia="zh-CN" w:bidi="ar-SA"/>
        </w:rPr>
      </w:pPr>
    </w:p>
    <w:p>
      <w:pPr>
        <w:pStyle w:val="2"/>
        <w:numPr>
          <w:ilvl w:val="0"/>
          <w:numId w:val="0"/>
        </w:numPr>
        <w:tabs>
          <w:tab w:val="left" w:pos="1279"/>
        </w:tabs>
        <w:ind w:right="138" w:rightChars="0"/>
        <w:jc w:val="center"/>
        <w:outlineLvl w:val="0"/>
        <w:rPr>
          <w:rFonts w:hint="eastAsia" w:ascii="黑体" w:eastAsia="黑体" w:hAnsiTheme="minorHAnsi" w:cstheme="minorBidi"/>
          <w:b/>
          <w:bCs/>
          <w:color w:val="000000"/>
          <w:kern w:val="2"/>
          <w:sz w:val="32"/>
          <w:szCs w:val="32"/>
          <w:lang w:val="en-US" w:eastAsia="zh-CN" w:bidi="ar-SA"/>
        </w:rPr>
      </w:pPr>
      <w:bookmarkStart w:id="254" w:name="_Toc516981496_WPSOffice_Level1"/>
      <w:bookmarkStart w:id="255" w:name="_Toc992054018_WPSOffice_Level1"/>
      <w:r>
        <w:rPr>
          <w:rFonts w:hint="eastAsia" w:ascii="黑体" w:eastAsia="黑体" w:hAnsiTheme="minorHAnsi" w:cstheme="minorBidi"/>
          <w:b/>
          <w:bCs/>
          <w:color w:val="000000"/>
          <w:kern w:val="2"/>
          <w:sz w:val="32"/>
          <w:szCs w:val="32"/>
          <w:lang w:val="en-US" w:eastAsia="zh-CN" w:bidi="ar-SA"/>
        </w:rPr>
        <w:t>第十一章</w:t>
      </w:r>
      <w:r>
        <w:rPr>
          <w:rFonts w:hint="eastAsia" w:ascii="黑体" w:eastAsia="黑体" w:cstheme="minorBidi"/>
          <w:b/>
          <w:bCs/>
          <w:color w:val="000000"/>
          <w:kern w:val="2"/>
          <w:sz w:val="32"/>
          <w:szCs w:val="32"/>
          <w:lang w:val="en-US" w:eastAsia="zh-CN" w:bidi="ar-SA"/>
        </w:rPr>
        <w:t xml:space="preserve"> </w:t>
      </w:r>
      <w:r>
        <w:rPr>
          <w:rFonts w:hint="eastAsia" w:ascii="黑体" w:eastAsia="黑体" w:hAnsiTheme="minorHAnsi" w:cstheme="minorBidi"/>
          <w:b/>
          <w:bCs/>
          <w:color w:val="000000"/>
          <w:kern w:val="2"/>
          <w:sz w:val="32"/>
          <w:szCs w:val="32"/>
          <w:lang w:val="en-US" w:eastAsia="zh-CN" w:bidi="ar-SA"/>
        </w:rPr>
        <w:t>保障措施</w:t>
      </w:r>
      <w:bookmarkEnd w:id="253"/>
      <w:bookmarkEnd w:id="254"/>
      <w:bookmarkEnd w:id="255"/>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 w:hAnsi="楷体" w:eastAsia="楷体" w:cs="楷体"/>
          <w:b/>
          <w:bCs/>
          <w:kern w:val="2"/>
          <w:sz w:val="32"/>
          <w:szCs w:val="32"/>
          <w:lang w:val="en-US" w:eastAsia="zh-CN" w:bidi="zh-CN"/>
        </w:rPr>
      </w:pPr>
      <w:bookmarkStart w:id="256" w:name="_Toc1805588438_WPSOffice_Level2"/>
      <w:bookmarkStart w:id="257" w:name="_Toc23186"/>
      <w:bookmarkStart w:id="258" w:name="_Toc1494363078_WPSOffice_Level2"/>
      <w:r>
        <w:rPr>
          <w:rFonts w:hint="eastAsia" w:ascii="楷体" w:hAnsi="楷体" w:eastAsia="楷体" w:cs="楷体"/>
          <w:b/>
          <w:bCs/>
          <w:kern w:val="2"/>
          <w:sz w:val="32"/>
          <w:szCs w:val="32"/>
          <w:lang w:val="en-US" w:eastAsia="zh-CN" w:bidi="zh-CN"/>
        </w:rPr>
        <w:t>（一）加强组织领导</w:t>
      </w:r>
      <w:bookmarkEnd w:id="256"/>
      <w:bookmarkEnd w:id="257"/>
      <w:bookmarkEnd w:id="258"/>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坚持全市各级党委和政府在</w:t>
      </w:r>
      <w:r>
        <w:rPr>
          <w:rFonts w:hint="eastAsia" w:ascii="仿宋_GB2312" w:eastAsia="仿宋_GB2312" w:cs="宋体"/>
          <w:kern w:val="0"/>
          <w:sz w:val="32"/>
          <w:szCs w:val="32"/>
        </w:rPr>
        <w:t>应急管理、安全生产</w:t>
      </w:r>
      <w:r>
        <w:rPr>
          <w:rFonts w:hint="eastAsia" w:ascii="仿宋_GB2312" w:eastAsia="仿宋_GB2312" w:hAnsiTheme="minorHAnsi" w:cstheme="minorBidi"/>
          <w:kern w:val="2"/>
          <w:sz w:val="32"/>
          <w:szCs w:val="32"/>
          <w:lang w:val="en-US" w:eastAsia="zh-CN" w:bidi="ar-SA"/>
        </w:rPr>
        <w:t>工作中的领导和主导地位，发挥组织领导、统筹协调、提供保障等重要作用。优化整合资源,完善跨地区、跨部门规划实施协同配合机制,统筹规划任务和重大工程项目实施,确保各项目标如期实现。</w:t>
      </w:r>
      <w:bookmarkStart w:id="259" w:name="_Toc20546"/>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 w:hAnsi="楷体" w:eastAsia="楷体" w:cs="楷体"/>
          <w:b/>
          <w:bCs/>
          <w:kern w:val="2"/>
          <w:sz w:val="32"/>
          <w:szCs w:val="32"/>
          <w:lang w:val="en-US" w:eastAsia="zh-CN" w:bidi="zh-CN"/>
        </w:rPr>
      </w:pPr>
      <w:bookmarkStart w:id="260" w:name="_Toc244617639_WPSOffice_Level2"/>
      <w:bookmarkStart w:id="261" w:name="_Toc1759527838_WPSOffice_Level2"/>
      <w:r>
        <w:rPr>
          <w:rFonts w:hint="eastAsia" w:ascii="楷体" w:hAnsi="楷体" w:eastAsia="楷体" w:cs="楷体"/>
          <w:b/>
          <w:bCs/>
          <w:kern w:val="2"/>
          <w:sz w:val="32"/>
          <w:szCs w:val="32"/>
          <w:lang w:val="en-US" w:eastAsia="zh-CN" w:bidi="zh-CN"/>
        </w:rPr>
        <w:t>（二）强化贯彻实施</w:t>
      </w:r>
      <w:bookmarkEnd w:id="259"/>
      <w:bookmarkEnd w:id="260"/>
      <w:bookmarkEnd w:id="261"/>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各区</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各部门要以高度的政治责任感和历史使命感，加大工作力度，确保本规划确定的各项任务与项目落到实处。要加强协调，统筹推进，对实施进度进行跟踪分析和督促检查，对实施过程中遇到的问题，及时沟通、科学应对、妥善解决。各地区要发挥主动性和创造性，因地制宜，积极探索，推动规划有序落实。</w:t>
      </w:r>
      <w:bookmarkStart w:id="262" w:name="_Toc26825"/>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 w:hAnsi="楷体" w:eastAsia="楷体" w:cs="楷体"/>
          <w:b/>
          <w:bCs/>
          <w:kern w:val="2"/>
          <w:sz w:val="32"/>
          <w:szCs w:val="32"/>
          <w:lang w:val="en-US" w:eastAsia="zh-CN" w:bidi="zh-CN"/>
        </w:rPr>
      </w:pPr>
      <w:bookmarkStart w:id="263" w:name="_Toc284453734_WPSOffice_Level2"/>
      <w:bookmarkStart w:id="264" w:name="_Toc141784256_WPSOffice_Level2"/>
      <w:r>
        <w:rPr>
          <w:rFonts w:hint="eastAsia" w:ascii="楷体" w:hAnsi="楷体" w:eastAsia="楷体" w:cs="楷体"/>
          <w:b/>
          <w:bCs/>
          <w:kern w:val="2"/>
          <w:sz w:val="32"/>
          <w:szCs w:val="32"/>
          <w:lang w:val="en-US" w:eastAsia="zh-CN" w:bidi="zh-CN"/>
        </w:rPr>
        <w:t>（三）加强资金保障</w:t>
      </w:r>
      <w:bookmarkEnd w:id="262"/>
      <w:bookmarkEnd w:id="263"/>
      <w:bookmarkEnd w:id="264"/>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完善政府投入、分级分类负责的</w:t>
      </w:r>
      <w:r>
        <w:rPr>
          <w:rFonts w:hint="eastAsia" w:ascii="仿宋_GB2312" w:eastAsia="仿宋_GB2312" w:cstheme="minorBidi"/>
          <w:kern w:val="2"/>
          <w:sz w:val="32"/>
          <w:szCs w:val="32"/>
          <w:lang w:val="en-US" w:eastAsia="zh-CN" w:bidi="ar-SA"/>
        </w:rPr>
        <w:t>应急</w:t>
      </w:r>
      <w:r>
        <w:rPr>
          <w:rFonts w:hint="eastAsia" w:ascii="仿宋_GB2312" w:eastAsia="仿宋_GB2312" w:hAnsiTheme="minorHAnsi" w:cstheme="minorBidi"/>
          <w:kern w:val="2"/>
          <w:sz w:val="32"/>
          <w:szCs w:val="32"/>
          <w:lang w:val="en-US" w:eastAsia="zh-CN" w:bidi="ar-SA"/>
        </w:rPr>
        <w:t>经费保障机制,持续保障投入力度。各级政府要加强对</w:t>
      </w:r>
      <w:r>
        <w:rPr>
          <w:rFonts w:hint="eastAsia" w:ascii="仿宋_GB2312" w:eastAsia="仿宋_GB2312" w:cstheme="minorBidi"/>
          <w:kern w:val="2"/>
          <w:sz w:val="32"/>
          <w:szCs w:val="32"/>
          <w:lang w:val="en-US" w:eastAsia="zh-CN" w:bidi="ar-SA"/>
        </w:rPr>
        <w:t>应急</w:t>
      </w:r>
      <w:r>
        <w:rPr>
          <w:rFonts w:hint="eastAsia" w:ascii="仿宋_GB2312" w:eastAsia="仿宋_GB2312" w:hAnsiTheme="minorHAnsi" w:cstheme="minorBidi"/>
          <w:kern w:val="2"/>
          <w:sz w:val="32"/>
          <w:szCs w:val="32"/>
          <w:lang w:val="en-US" w:eastAsia="zh-CN" w:bidi="ar-SA"/>
        </w:rPr>
        <w:t>资金的统筹，提高资金使用效益。完善财政、金融、信贷、保险等政策,鼓励和动员社会化资金投入,切实推动规划相关任务和工程项目落实落地。</w:t>
      </w:r>
      <w:bookmarkStart w:id="265" w:name="_Toc29411"/>
    </w:p>
    <w:p>
      <w:pPr>
        <w:spacing w:after="100"/>
        <w:ind w:firstLine="642" w:firstLineChars="200"/>
        <w:outlineLvl w:val="1"/>
      </w:pPr>
      <w:bookmarkStart w:id="266" w:name="_Toc474624665_WPSOffice_Level2"/>
      <w:bookmarkStart w:id="267" w:name="_Toc1360416954_WPSOffice_Level2"/>
      <w:r>
        <w:rPr>
          <w:rFonts w:hint="eastAsia" w:ascii="楷体" w:hAnsi="楷体" w:eastAsia="楷体" w:cs="楷体"/>
          <w:b/>
          <w:bCs/>
          <w:kern w:val="2"/>
          <w:sz w:val="32"/>
          <w:szCs w:val="32"/>
          <w:lang w:val="en-US" w:eastAsia="zh-CN" w:bidi="zh-CN"/>
        </w:rPr>
        <w:t>（四）</w:t>
      </w:r>
      <w:r>
        <w:rPr>
          <w:rFonts w:hint="eastAsia" w:ascii="楷体_GB2312" w:eastAsia="楷体_GB2312"/>
          <w:b/>
          <w:bCs/>
          <w:spacing w:val="8"/>
          <w:sz w:val="32"/>
          <w:szCs w:val="32"/>
        </w:rPr>
        <w:t>强化人才支撑</w:t>
      </w:r>
      <w:bookmarkEnd w:id="266"/>
      <w:bookmarkEnd w:id="267"/>
    </w:p>
    <w:p>
      <w:pPr>
        <w:autoSpaceDE w:val="0"/>
        <w:autoSpaceDN w:val="0"/>
        <w:adjustRightInd w:val="0"/>
        <w:ind w:firstLine="640" w:firstLineChars="200"/>
        <w:rPr>
          <w:rFonts w:hint="eastAsia" w:ascii="楷体" w:hAnsi="楷体" w:eastAsia="楷体" w:cs="楷体"/>
          <w:b/>
          <w:bCs/>
          <w:kern w:val="2"/>
          <w:sz w:val="32"/>
          <w:szCs w:val="32"/>
          <w:lang w:val="en-US" w:eastAsia="zh-CN" w:bidi="zh-CN"/>
        </w:rPr>
      </w:pPr>
      <w:r>
        <w:rPr>
          <w:rFonts w:hint="eastAsia" w:ascii="仿宋_GB2312" w:eastAsia="仿宋_GB2312"/>
          <w:sz w:val="32"/>
          <w:szCs w:val="32"/>
        </w:rPr>
        <w:t>加快应急管理人才培养体系建设，加强创新型、应用型、技能型人才培养。建立应急管理专业人才目录清单，推动完善专业人才培养招录政策，拓展急需紧缺人才培育供给渠道，着力形成人才集聚、培养、使用、评价机制，构建流动顺畅、开放包容、运行高效的人才体系。</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 w:hAnsi="楷体" w:eastAsia="楷体" w:cs="楷体"/>
          <w:b/>
          <w:bCs/>
          <w:kern w:val="2"/>
          <w:sz w:val="32"/>
          <w:szCs w:val="32"/>
          <w:lang w:val="en-US" w:eastAsia="zh-CN" w:bidi="zh-CN"/>
        </w:rPr>
      </w:pPr>
      <w:bookmarkStart w:id="268" w:name="_Toc320005847_WPSOffice_Level2"/>
      <w:bookmarkStart w:id="269" w:name="_Toc896120147_WPSOffice_Level2"/>
      <w:r>
        <w:rPr>
          <w:rFonts w:hint="eastAsia" w:ascii="楷体" w:hAnsi="楷体" w:eastAsia="楷体" w:cs="楷体"/>
          <w:b/>
          <w:bCs/>
          <w:kern w:val="2"/>
          <w:sz w:val="32"/>
          <w:szCs w:val="32"/>
          <w:lang w:val="en-US" w:eastAsia="zh-CN" w:bidi="zh-CN"/>
        </w:rPr>
        <w:t>（五）强化考核评估</w:t>
      </w:r>
      <w:bookmarkEnd w:id="265"/>
      <w:bookmarkEnd w:id="268"/>
      <w:bookmarkEnd w:id="269"/>
    </w:p>
    <w:p>
      <w:pPr>
        <w:pStyle w:val="2"/>
        <w:keepNext w:val="0"/>
        <w:keepLines w:val="0"/>
        <w:pageBreakBefore w:val="0"/>
        <w:widowControl w:val="0"/>
        <w:numPr>
          <w:ilvl w:val="0"/>
          <w:numId w:val="0"/>
        </w:numPr>
        <w:tabs>
          <w:tab w:val="left" w:pos="1279"/>
        </w:tabs>
        <w:kinsoku/>
        <w:wordWrap/>
        <w:overflowPunct/>
        <w:topLinePunct w:val="0"/>
        <w:autoSpaceDE/>
        <w:autoSpaceDN/>
        <w:bidi w:val="0"/>
        <w:adjustRightInd/>
        <w:snapToGrid/>
        <w:ind w:right="136" w:rightChars="0" w:firstLine="640" w:firstLineChars="200"/>
        <w:jc w:val="both"/>
        <w:textAlignment w:val="auto"/>
        <w:outlineLvl w:val="0"/>
        <w:rPr>
          <w:rFonts w:hint="eastAsia" w:ascii="黑体" w:eastAsia="黑体" w:hAnsiTheme="minorHAnsi" w:cstheme="minorBidi"/>
          <w:color w:val="000000"/>
          <w:kern w:val="2"/>
          <w:sz w:val="32"/>
          <w:szCs w:val="32"/>
          <w:lang w:val="en-US" w:eastAsia="zh-CN" w:bidi="ar-SA"/>
        </w:rPr>
      </w:pPr>
      <w:bookmarkStart w:id="270" w:name="_Toc17282"/>
      <w:r>
        <w:rPr>
          <w:rFonts w:hint="eastAsia" w:ascii="仿宋_GB2312" w:eastAsia="仿宋_GB2312" w:hAnsiTheme="minorHAnsi" w:cstheme="minorBidi"/>
          <w:kern w:val="2"/>
          <w:sz w:val="32"/>
          <w:szCs w:val="32"/>
          <w:lang w:val="en-US" w:eastAsia="zh-CN" w:bidi="ar-SA"/>
        </w:rPr>
        <w:t>建立规划实施的管理、监测和评估制度，将规划任务落实情况纳入地方和部门工作督察和考核评价体系。开展规划实施中期和终期评估,分析实施进展情况并提出改进措施。</w:t>
      </w:r>
      <w:bookmarkEnd w:id="270"/>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734994930"/>
      </w:sdtP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616597841"/>
      </w:sdtPr>
      <w:sdtContent/>
    </w:sdt>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sdt>
      <w:sdtPr>
        <w:id w:val="-1616597841"/>
      </w:sdtP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1E097"/>
    <w:multiLevelType w:val="singleLevel"/>
    <w:tmpl w:val="A791E097"/>
    <w:lvl w:ilvl="0" w:tentative="0">
      <w:start w:val="1"/>
      <w:numFmt w:val="chineseCounting"/>
      <w:lvlText w:val="第%1章"/>
      <w:lvlJc w:val="left"/>
      <w:rPr>
        <w:rFonts w:hint="eastAsia"/>
      </w:rPr>
    </w:lvl>
  </w:abstractNum>
  <w:abstractNum w:abstractNumId="1">
    <w:nsid w:val="B6384745"/>
    <w:multiLevelType w:val="singleLevel"/>
    <w:tmpl w:val="B6384745"/>
    <w:lvl w:ilvl="0" w:tentative="0">
      <w:start w:val="1"/>
      <w:numFmt w:val="chineseCounting"/>
      <w:suff w:val="nothing"/>
      <w:lvlText w:val="（%1）"/>
      <w:lvlJc w:val="left"/>
      <w:rPr>
        <w:rFonts w:hint="eastAsia"/>
      </w:rPr>
    </w:lvl>
  </w:abstractNum>
  <w:abstractNum w:abstractNumId="2">
    <w:nsid w:val="FDF96F35"/>
    <w:multiLevelType w:val="singleLevel"/>
    <w:tmpl w:val="FDF96F35"/>
    <w:lvl w:ilvl="0" w:tentative="0">
      <w:start w:val="1"/>
      <w:numFmt w:val="chineseCounting"/>
      <w:suff w:val="nothing"/>
      <w:lvlText w:val="（%1）"/>
      <w:lvlJc w:val="left"/>
      <w:rPr>
        <w:rFonts w:hint="eastAsia"/>
      </w:rPr>
    </w:lvl>
  </w:abstractNum>
  <w:abstractNum w:abstractNumId="3">
    <w:nsid w:val="5D298E12"/>
    <w:multiLevelType w:val="singleLevel"/>
    <w:tmpl w:val="5D298E12"/>
    <w:lvl w:ilvl="0" w:tentative="0">
      <w:start w:val="2"/>
      <w:numFmt w:val="chineseCounting"/>
      <w:suff w:val="nothing"/>
      <w:lvlText w:val="（%1）"/>
      <w:lvlJc w:val="left"/>
      <w:rPr>
        <w:rFonts w:hint="eastAsia"/>
      </w:rPr>
    </w:lvl>
  </w:abstractNum>
  <w:abstractNum w:abstractNumId="4">
    <w:nsid w:val="62558E60"/>
    <w:multiLevelType w:val="singleLevel"/>
    <w:tmpl w:val="62558E60"/>
    <w:lvl w:ilvl="0" w:tentative="0">
      <w:start w:val="2"/>
      <w:numFmt w:val="chineseCounting"/>
      <w:suff w:val="nothing"/>
      <w:lvlText w:val="（%1）"/>
      <w:lvlJc w:val="left"/>
      <w:rPr>
        <w:rFonts w:hint="eastAsia"/>
      </w:rPr>
    </w:lvl>
  </w:abstractNum>
  <w:abstractNum w:abstractNumId="5">
    <w:nsid w:val="705E3B19"/>
    <w:multiLevelType w:val="singleLevel"/>
    <w:tmpl w:val="705E3B19"/>
    <w:lvl w:ilvl="0" w:tentative="0">
      <w:start w:val="6"/>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2E"/>
    <w:rsid w:val="000153A1"/>
    <w:rsid w:val="00033C1B"/>
    <w:rsid w:val="0006096B"/>
    <w:rsid w:val="0008764B"/>
    <w:rsid w:val="000C176D"/>
    <w:rsid w:val="000E297C"/>
    <w:rsid w:val="000F6B71"/>
    <w:rsid w:val="00166798"/>
    <w:rsid w:val="001B6DBD"/>
    <w:rsid w:val="001D7370"/>
    <w:rsid w:val="00254B81"/>
    <w:rsid w:val="002D7E7A"/>
    <w:rsid w:val="0031518D"/>
    <w:rsid w:val="0035297A"/>
    <w:rsid w:val="003C7295"/>
    <w:rsid w:val="003D09A8"/>
    <w:rsid w:val="003E058A"/>
    <w:rsid w:val="003E34F6"/>
    <w:rsid w:val="004060BB"/>
    <w:rsid w:val="00451543"/>
    <w:rsid w:val="004A268E"/>
    <w:rsid w:val="004F5182"/>
    <w:rsid w:val="004F6118"/>
    <w:rsid w:val="00562160"/>
    <w:rsid w:val="005F33E8"/>
    <w:rsid w:val="006274AE"/>
    <w:rsid w:val="00627C39"/>
    <w:rsid w:val="00631C0F"/>
    <w:rsid w:val="00663E20"/>
    <w:rsid w:val="0068692E"/>
    <w:rsid w:val="006A72A5"/>
    <w:rsid w:val="006D0DBC"/>
    <w:rsid w:val="006E1D73"/>
    <w:rsid w:val="00717D07"/>
    <w:rsid w:val="007A6DD6"/>
    <w:rsid w:val="007C19EB"/>
    <w:rsid w:val="00827585"/>
    <w:rsid w:val="00892F7E"/>
    <w:rsid w:val="008E0976"/>
    <w:rsid w:val="009325D4"/>
    <w:rsid w:val="00937D1A"/>
    <w:rsid w:val="00971D71"/>
    <w:rsid w:val="009A0915"/>
    <w:rsid w:val="00A10D2D"/>
    <w:rsid w:val="00A41F8C"/>
    <w:rsid w:val="00A45FDB"/>
    <w:rsid w:val="00A66A8C"/>
    <w:rsid w:val="00A7151A"/>
    <w:rsid w:val="00A83C63"/>
    <w:rsid w:val="00A853EF"/>
    <w:rsid w:val="00AC133F"/>
    <w:rsid w:val="00B15E7B"/>
    <w:rsid w:val="00B71FA9"/>
    <w:rsid w:val="00BB12C2"/>
    <w:rsid w:val="00BF5C37"/>
    <w:rsid w:val="00C740E0"/>
    <w:rsid w:val="00CA59A1"/>
    <w:rsid w:val="00CE4AA4"/>
    <w:rsid w:val="00CF0F48"/>
    <w:rsid w:val="00D03B65"/>
    <w:rsid w:val="00D12C41"/>
    <w:rsid w:val="00D43478"/>
    <w:rsid w:val="00D630F7"/>
    <w:rsid w:val="00D75129"/>
    <w:rsid w:val="00D93795"/>
    <w:rsid w:val="00DD08AD"/>
    <w:rsid w:val="00E06AFD"/>
    <w:rsid w:val="00E2432E"/>
    <w:rsid w:val="00E76D23"/>
    <w:rsid w:val="00E8203A"/>
    <w:rsid w:val="00EB32DA"/>
    <w:rsid w:val="00EC5666"/>
    <w:rsid w:val="00EC6FB3"/>
    <w:rsid w:val="00F76E3F"/>
    <w:rsid w:val="00F77088"/>
    <w:rsid w:val="00F919B5"/>
    <w:rsid w:val="00FC592C"/>
    <w:rsid w:val="00FE7B42"/>
    <w:rsid w:val="0102400F"/>
    <w:rsid w:val="01074CA8"/>
    <w:rsid w:val="011C480B"/>
    <w:rsid w:val="017F09FE"/>
    <w:rsid w:val="02DE1F74"/>
    <w:rsid w:val="02E7128E"/>
    <w:rsid w:val="0340779B"/>
    <w:rsid w:val="03472BFB"/>
    <w:rsid w:val="03AA5DC4"/>
    <w:rsid w:val="03CF4B53"/>
    <w:rsid w:val="04012F8A"/>
    <w:rsid w:val="04A32079"/>
    <w:rsid w:val="04F76143"/>
    <w:rsid w:val="052401FC"/>
    <w:rsid w:val="053D3951"/>
    <w:rsid w:val="054C092D"/>
    <w:rsid w:val="056EDC2E"/>
    <w:rsid w:val="058C45EB"/>
    <w:rsid w:val="05CF4E72"/>
    <w:rsid w:val="064062BC"/>
    <w:rsid w:val="07A07FDD"/>
    <w:rsid w:val="07EA74DF"/>
    <w:rsid w:val="0A295AF5"/>
    <w:rsid w:val="0ACE14C3"/>
    <w:rsid w:val="0BAD54B8"/>
    <w:rsid w:val="0C5B16B3"/>
    <w:rsid w:val="0DA10741"/>
    <w:rsid w:val="0E180196"/>
    <w:rsid w:val="0E482542"/>
    <w:rsid w:val="0EE21B8A"/>
    <w:rsid w:val="0EF32583"/>
    <w:rsid w:val="0F143AA0"/>
    <w:rsid w:val="0FDC6156"/>
    <w:rsid w:val="103321AE"/>
    <w:rsid w:val="10705EDD"/>
    <w:rsid w:val="10773A7D"/>
    <w:rsid w:val="108C5F59"/>
    <w:rsid w:val="11503770"/>
    <w:rsid w:val="115D0206"/>
    <w:rsid w:val="11AF2F60"/>
    <w:rsid w:val="128F6998"/>
    <w:rsid w:val="12956B0A"/>
    <w:rsid w:val="12A53B18"/>
    <w:rsid w:val="142A0731"/>
    <w:rsid w:val="146B60A7"/>
    <w:rsid w:val="147D2065"/>
    <w:rsid w:val="14D5162E"/>
    <w:rsid w:val="15B234B8"/>
    <w:rsid w:val="160C5AC5"/>
    <w:rsid w:val="171B0DFB"/>
    <w:rsid w:val="175246D5"/>
    <w:rsid w:val="17C90E06"/>
    <w:rsid w:val="18723AAC"/>
    <w:rsid w:val="187A077A"/>
    <w:rsid w:val="18CD3F01"/>
    <w:rsid w:val="190A01B3"/>
    <w:rsid w:val="193C4657"/>
    <w:rsid w:val="1AA845CD"/>
    <w:rsid w:val="1B9B022F"/>
    <w:rsid w:val="1BA24211"/>
    <w:rsid w:val="1BF16C4F"/>
    <w:rsid w:val="1C3F6D81"/>
    <w:rsid w:val="1C4C4F2E"/>
    <w:rsid w:val="1CB86F59"/>
    <w:rsid w:val="1CCC2D3F"/>
    <w:rsid w:val="1D483E53"/>
    <w:rsid w:val="1D8609E8"/>
    <w:rsid w:val="1DBE4F9E"/>
    <w:rsid w:val="1DE654AC"/>
    <w:rsid w:val="1DE7728B"/>
    <w:rsid w:val="1E346586"/>
    <w:rsid w:val="1E3816D8"/>
    <w:rsid w:val="1E705830"/>
    <w:rsid w:val="1EF03C1C"/>
    <w:rsid w:val="1F7BC02A"/>
    <w:rsid w:val="1FB3CB83"/>
    <w:rsid w:val="20B00058"/>
    <w:rsid w:val="2170137B"/>
    <w:rsid w:val="21CE685E"/>
    <w:rsid w:val="22C11AE3"/>
    <w:rsid w:val="22DF42DD"/>
    <w:rsid w:val="23920BDF"/>
    <w:rsid w:val="23A26601"/>
    <w:rsid w:val="23F83011"/>
    <w:rsid w:val="24C30244"/>
    <w:rsid w:val="25AB6DA6"/>
    <w:rsid w:val="25D77C1D"/>
    <w:rsid w:val="25F01E72"/>
    <w:rsid w:val="262C7FF6"/>
    <w:rsid w:val="269B2746"/>
    <w:rsid w:val="269C62D0"/>
    <w:rsid w:val="26D85E1F"/>
    <w:rsid w:val="2721138A"/>
    <w:rsid w:val="283A69D4"/>
    <w:rsid w:val="287C346C"/>
    <w:rsid w:val="28FA3192"/>
    <w:rsid w:val="2934282B"/>
    <w:rsid w:val="29D56BD4"/>
    <w:rsid w:val="2AA6571C"/>
    <w:rsid w:val="2B183EE6"/>
    <w:rsid w:val="2B4C337B"/>
    <w:rsid w:val="2BCE2B84"/>
    <w:rsid w:val="2C3C6295"/>
    <w:rsid w:val="2D0E37EF"/>
    <w:rsid w:val="2D0F3088"/>
    <w:rsid w:val="2D3B2415"/>
    <w:rsid w:val="2DDD60F4"/>
    <w:rsid w:val="2E9465D4"/>
    <w:rsid w:val="2F152E2D"/>
    <w:rsid w:val="305648FD"/>
    <w:rsid w:val="30602393"/>
    <w:rsid w:val="318426E5"/>
    <w:rsid w:val="31846CBD"/>
    <w:rsid w:val="327B5D89"/>
    <w:rsid w:val="32A175AD"/>
    <w:rsid w:val="32E93EC7"/>
    <w:rsid w:val="33CE0BB9"/>
    <w:rsid w:val="33FC5322"/>
    <w:rsid w:val="346F74DA"/>
    <w:rsid w:val="3512446D"/>
    <w:rsid w:val="356E5460"/>
    <w:rsid w:val="36D24705"/>
    <w:rsid w:val="37E2150E"/>
    <w:rsid w:val="3874770E"/>
    <w:rsid w:val="38D27278"/>
    <w:rsid w:val="39491EFF"/>
    <w:rsid w:val="39EE718D"/>
    <w:rsid w:val="3A082D69"/>
    <w:rsid w:val="3A1576E7"/>
    <w:rsid w:val="3A840CF0"/>
    <w:rsid w:val="3A9A0EE1"/>
    <w:rsid w:val="3B112406"/>
    <w:rsid w:val="3B146C3C"/>
    <w:rsid w:val="3B37461F"/>
    <w:rsid w:val="3B644521"/>
    <w:rsid w:val="3BF5FFD5"/>
    <w:rsid w:val="3C050C48"/>
    <w:rsid w:val="3C4758D0"/>
    <w:rsid w:val="3CE94B97"/>
    <w:rsid w:val="3D381FCA"/>
    <w:rsid w:val="3DE64AB3"/>
    <w:rsid w:val="3DF252B7"/>
    <w:rsid w:val="3E920EE6"/>
    <w:rsid w:val="3F401E54"/>
    <w:rsid w:val="3FBF501C"/>
    <w:rsid w:val="409D388E"/>
    <w:rsid w:val="417313CC"/>
    <w:rsid w:val="42174787"/>
    <w:rsid w:val="42B53999"/>
    <w:rsid w:val="42B809EA"/>
    <w:rsid w:val="42CB6BE9"/>
    <w:rsid w:val="4310015C"/>
    <w:rsid w:val="43E27F63"/>
    <w:rsid w:val="442E2452"/>
    <w:rsid w:val="44FE14B5"/>
    <w:rsid w:val="45D53846"/>
    <w:rsid w:val="46524A26"/>
    <w:rsid w:val="46AE4179"/>
    <w:rsid w:val="46B464F9"/>
    <w:rsid w:val="46F626B9"/>
    <w:rsid w:val="47601B1A"/>
    <w:rsid w:val="48624179"/>
    <w:rsid w:val="48AB0799"/>
    <w:rsid w:val="48B7333A"/>
    <w:rsid w:val="4903083C"/>
    <w:rsid w:val="492960D3"/>
    <w:rsid w:val="4979155F"/>
    <w:rsid w:val="49825542"/>
    <w:rsid w:val="4A606144"/>
    <w:rsid w:val="4A7B10D7"/>
    <w:rsid w:val="4AE57F9E"/>
    <w:rsid w:val="4AF1067D"/>
    <w:rsid w:val="4B395164"/>
    <w:rsid w:val="4B957378"/>
    <w:rsid w:val="4BB139A1"/>
    <w:rsid w:val="4BD32496"/>
    <w:rsid w:val="4BF72CA9"/>
    <w:rsid w:val="4C1A19DD"/>
    <w:rsid w:val="4C4F4B6E"/>
    <w:rsid w:val="4CC768C8"/>
    <w:rsid w:val="4D88555A"/>
    <w:rsid w:val="4DB2074B"/>
    <w:rsid w:val="4E3C590F"/>
    <w:rsid w:val="4F025C85"/>
    <w:rsid w:val="4F21119D"/>
    <w:rsid w:val="4F58040F"/>
    <w:rsid w:val="4FF65A05"/>
    <w:rsid w:val="4FFFFFF0"/>
    <w:rsid w:val="503763EB"/>
    <w:rsid w:val="51070FE7"/>
    <w:rsid w:val="516175FC"/>
    <w:rsid w:val="51EB2025"/>
    <w:rsid w:val="51FED7AB"/>
    <w:rsid w:val="520E0832"/>
    <w:rsid w:val="520F5785"/>
    <w:rsid w:val="529C46A0"/>
    <w:rsid w:val="52BC40ED"/>
    <w:rsid w:val="533838EE"/>
    <w:rsid w:val="54D36B9F"/>
    <w:rsid w:val="550A0428"/>
    <w:rsid w:val="552D3CE2"/>
    <w:rsid w:val="55DE2EE7"/>
    <w:rsid w:val="569602E2"/>
    <w:rsid w:val="57065A9E"/>
    <w:rsid w:val="573A1918"/>
    <w:rsid w:val="57F269F5"/>
    <w:rsid w:val="588C62E6"/>
    <w:rsid w:val="589D0605"/>
    <w:rsid w:val="58E42D44"/>
    <w:rsid w:val="5906065C"/>
    <w:rsid w:val="598240EE"/>
    <w:rsid w:val="5A347E93"/>
    <w:rsid w:val="5A401D39"/>
    <w:rsid w:val="5A877CCB"/>
    <w:rsid w:val="5A8B447C"/>
    <w:rsid w:val="5AC26E62"/>
    <w:rsid w:val="5BD67195"/>
    <w:rsid w:val="5CDF59FA"/>
    <w:rsid w:val="5EFA7CCD"/>
    <w:rsid w:val="5F140E3A"/>
    <w:rsid w:val="5F2579E6"/>
    <w:rsid w:val="5F411EF0"/>
    <w:rsid w:val="5F550EBB"/>
    <w:rsid w:val="5F97116A"/>
    <w:rsid w:val="5FAD65AE"/>
    <w:rsid w:val="5FBFB111"/>
    <w:rsid w:val="5FFF9FD9"/>
    <w:rsid w:val="60750CE5"/>
    <w:rsid w:val="60B56855"/>
    <w:rsid w:val="615A5DB5"/>
    <w:rsid w:val="61C67EBF"/>
    <w:rsid w:val="61F7328D"/>
    <w:rsid w:val="62553CCD"/>
    <w:rsid w:val="63047289"/>
    <w:rsid w:val="63723EC1"/>
    <w:rsid w:val="63BD0BBA"/>
    <w:rsid w:val="63E26DD7"/>
    <w:rsid w:val="6452183C"/>
    <w:rsid w:val="64652859"/>
    <w:rsid w:val="64C515BA"/>
    <w:rsid w:val="64D21B8B"/>
    <w:rsid w:val="64EF6D17"/>
    <w:rsid w:val="64F6117A"/>
    <w:rsid w:val="650D593C"/>
    <w:rsid w:val="652D5466"/>
    <w:rsid w:val="65E21A0A"/>
    <w:rsid w:val="660B3B64"/>
    <w:rsid w:val="66F20C94"/>
    <w:rsid w:val="66F91261"/>
    <w:rsid w:val="671A321C"/>
    <w:rsid w:val="675B5156"/>
    <w:rsid w:val="6783271E"/>
    <w:rsid w:val="67993255"/>
    <w:rsid w:val="67FD5FF0"/>
    <w:rsid w:val="682D5798"/>
    <w:rsid w:val="68420810"/>
    <w:rsid w:val="687C66DB"/>
    <w:rsid w:val="690B1A99"/>
    <w:rsid w:val="69113F27"/>
    <w:rsid w:val="696B281A"/>
    <w:rsid w:val="69FF4741"/>
    <w:rsid w:val="6AE74420"/>
    <w:rsid w:val="6B391145"/>
    <w:rsid w:val="6B662A33"/>
    <w:rsid w:val="6C076B40"/>
    <w:rsid w:val="6C52416B"/>
    <w:rsid w:val="6CF642F7"/>
    <w:rsid w:val="6DB55078"/>
    <w:rsid w:val="6DFF548C"/>
    <w:rsid w:val="6E4724B8"/>
    <w:rsid w:val="6F5F499F"/>
    <w:rsid w:val="6FB7EC2D"/>
    <w:rsid w:val="70AC2256"/>
    <w:rsid w:val="70C25314"/>
    <w:rsid w:val="711415A6"/>
    <w:rsid w:val="719B2516"/>
    <w:rsid w:val="71A1386B"/>
    <w:rsid w:val="71E66CE1"/>
    <w:rsid w:val="72590D37"/>
    <w:rsid w:val="72C134B6"/>
    <w:rsid w:val="737F9EFC"/>
    <w:rsid w:val="73C35E2E"/>
    <w:rsid w:val="74BA165F"/>
    <w:rsid w:val="7549534A"/>
    <w:rsid w:val="754B220B"/>
    <w:rsid w:val="760B640D"/>
    <w:rsid w:val="76270120"/>
    <w:rsid w:val="76375C77"/>
    <w:rsid w:val="76600DBA"/>
    <w:rsid w:val="76AB0F2E"/>
    <w:rsid w:val="76C20D12"/>
    <w:rsid w:val="76C527A7"/>
    <w:rsid w:val="773E67DA"/>
    <w:rsid w:val="777B661E"/>
    <w:rsid w:val="77FCB03C"/>
    <w:rsid w:val="77FFB42C"/>
    <w:rsid w:val="781336D4"/>
    <w:rsid w:val="7846032D"/>
    <w:rsid w:val="789A0013"/>
    <w:rsid w:val="78EB690C"/>
    <w:rsid w:val="791153B3"/>
    <w:rsid w:val="79143EA5"/>
    <w:rsid w:val="79630A34"/>
    <w:rsid w:val="7970131C"/>
    <w:rsid w:val="79A404F6"/>
    <w:rsid w:val="7A6B4C63"/>
    <w:rsid w:val="7A6FEF25"/>
    <w:rsid w:val="7AEE716F"/>
    <w:rsid w:val="7AFD3DD6"/>
    <w:rsid w:val="7B5E2929"/>
    <w:rsid w:val="7BADA82E"/>
    <w:rsid w:val="7BFA0B59"/>
    <w:rsid w:val="7BFF755E"/>
    <w:rsid w:val="7C1B23D3"/>
    <w:rsid w:val="7C311B5E"/>
    <w:rsid w:val="7D0D367F"/>
    <w:rsid w:val="7D8B07B1"/>
    <w:rsid w:val="7DA653B3"/>
    <w:rsid w:val="7DBB326C"/>
    <w:rsid w:val="7DBD6009"/>
    <w:rsid w:val="7E157DC6"/>
    <w:rsid w:val="7E4B3643"/>
    <w:rsid w:val="7F2A2051"/>
    <w:rsid w:val="7F34FB29"/>
    <w:rsid w:val="7F607114"/>
    <w:rsid w:val="7F7D58EC"/>
    <w:rsid w:val="7F985BBB"/>
    <w:rsid w:val="7FB28826"/>
    <w:rsid w:val="7FF74029"/>
    <w:rsid w:val="7FFBB81E"/>
    <w:rsid w:val="7FFFD6E4"/>
    <w:rsid w:val="93FDD6B7"/>
    <w:rsid w:val="9D4B5CFF"/>
    <w:rsid w:val="AFFE7BC0"/>
    <w:rsid w:val="B5DB910D"/>
    <w:rsid w:val="B72DAD72"/>
    <w:rsid w:val="BA7B23C6"/>
    <w:rsid w:val="BB777FEA"/>
    <w:rsid w:val="CEBD5768"/>
    <w:rsid w:val="DFBF4A21"/>
    <w:rsid w:val="DFEBF156"/>
    <w:rsid w:val="DFF70B1C"/>
    <w:rsid w:val="DFFF3635"/>
    <w:rsid w:val="E3978CB1"/>
    <w:rsid w:val="EA3F7E48"/>
    <w:rsid w:val="EBFB727C"/>
    <w:rsid w:val="ECE73901"/>
    <w:rsid w:val="ECFBCFEF"/>
    <w:rsid w:val="EF7E32AD"/>
    <w:rsid w:val="EF7FD8D9"/>
    <w:rsid w:val="EF9F3552"/>
    <w:rsid w:val="EFFD3AFF"/>
    <w:rsid w:val="EFFECFB3"/>
    <w:rsid w:val="F6B52F41"/>
    <w:rsid w:val="F7E5D74F"/>
    <w:rsid w:val="FBDF51C7"/>
    <w:rsid w:val="FBFF4680"/>
    <w:rsid w:val="FDBEE0D8"/>
    <w:rsid w:val="FDBF67E6"/>
    <w:rsid w:val="FE366FD3"/>
    <w:rsid w:val="FE734873"/>
    <w:rsid w:val="FEF759C0"/>
    <w:rsid w:val="FEFDF6DF"/>
    <w:rsid w:val="FFAF742B"/>
    <w:rsid w:val="FFDF0230"/>
    <w:rsid w:val="FFFBFF26"/>
    <w:rsid w:val="FFFC0F2B"/>
    <w:rsid w:val="FFFF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41"/>
      <w:ind w:right="140"/>
      <w:jc w:val="center"/>
      <w:outlineLvl w:val="1"/>
    </w:pPr>
    <w:rPr>
      <w:rFonts w:ascii="宋体" w:hAnsi="宋体" w:eastAsia="宋体" w:cs="宋体"/>
      <w:sz w:val="44"/>
      <w:szCs w:val="44"/>
      <w:lang w:val="zh-CN" w:eastAsia="zh-CN" w:bidi="zh-CN"/>
    </w:rPr>
  </w:style>
  <w:style w:type="paragraph" w:styleId="4">
    <w:name w:val="heading 2"/>
    <w:basedOn w:val="1"/>
    <w:next w:val="1"/>
    <w:qFormat/>
    <w:uiPriority w:val="1"/>
    <w:pPr>
      <w:ind w:left="1560"/>
      <w:outlineLvl w:val="2"/>
    </w:pPr>
    <w:rPr>
      <w:rFonts w:ascii="楷体" w:hAnsi="楷体" w:eastAsia="楷体" w:cs="楷体"/>
      <w:b/>
      <w:bCs/>
      <w:sz w:val="32"/>
      <w:szCs w:val="32"/>
      <w:lang w:val="zh-CN" w:eastAsia="zh-CN" w:bidi="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annotation text"/>
    <w:basedOn w:val="1"/>
    <w:link w:val="27"/>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3"/>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360" w:lineRule="auto"/>
    </w:p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28"/>
    <w:semiHidden/>
    <w:unhideWhenUsed/>
    <w:qFormat/>
    <w:uiPriority w:val="99"/>
    <w:rPr>
      <w:b/>
      <w:bCs/>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paragraph" w:customStyle="1" w:styleId="20">
    <w:name w:val="正文样式"/>
    <w:basedOn w:val="1"/>
    <w:qFormat/>
    <w:uiPriority w:val="0"/>
    <w:pPr>
      <w:adjustRightInd w:val="0"/>
      <w:snapToGrid w:val="0"/>
      <w:spacing w:line="520" w:lineRule="exact"/>
      <w:ind w:firstLine="562"/>
    </w:pPr>
    <w:rPr>
      <w:rFonts w:ascii="Times New Roman"/>
      <w:color w:val="000000"/>
      <w:sz w:val="28"/>
      <w:szCs w:val="28"/>
    </w:rPr>
  </w:style>
  <w:style w:type="character" w:customStyle="1" w:styleId="21">
    <w:name w:val="页眉 字符"/>
    <w:basedOn w:val="16"/>
    <w:link w:val="9"/>
    <w:qFormat/>
    <w:uiPriority w:val="99"/>
    <w:rPr>
      <w:sz w:val="18"/>
      <w:szCs w:val="18"/>
    </w:rPr>
  </w:style>
  <w:style w:type="character" w:customStyle="1" w:styleId="22">
    <w:name w:val="页脚 字符"/>
    <w:basedOn w:val="16"/>
    <w:link w:val="8"/>
    <w:qFormat/>
    <w:uiPriority w:val="99"/>
    <w:rPr>
      <w:sz w:val="18"/>
      <w:szCs w:val="18"/>
    </w:rPr>
  </w:style>
  <w:style w:type="character" w:customStyle="1" w:styleId="23">
    <w:name w:val="批注框文本 字符"/>
    <w:basedOn w:val="16"/>
    <w:link w:val="7"/>
    <w:semiHidden/>
    <w:qFormat/>
    <w:uiPriority w:val="99"/>
    <w:rPr>
      <w:sz w:val="18"/>
      <w:szCs w:val="18"/>
    </w:rPr>
  </w:style>
  <w:style w:type="paragraph" w:styleId="24">
    <w:name w:val="List Paragraph"/>
    <w:basedOn w:val="1"/>
    <w:qFormat/>
    <w:uiPriority w:val="34"/>
    <w:pPr>
      <w:ind w:firstLine="420" w:firstLineChars="200"/>
    </w:p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paragraph" w:customStyle="1" w:styleId="2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7">
    <w:name w:val="批注文字 字符"/>
    <w:basedOn w:val="16"/>
    <w:link w:val="5"/>
    <w:semiHidden/>
    <w:qFormat/>
    <w:uiPriority w:val="99"/>
    <w:rPr>
      <w:kern w:val="2"/>
      <w:sz w:val="21"/>
      <w:szCs w:val="24"/>
    </w:rPr>
  </w:style>
  <w:style w:type="character" w:customStyle="1" w:styleId="28">
    <w:name w:val="批注主题 字符"/>
    <w:basedOn w:val="27"/>
    <w:link w:val="13"/>
    <w:semiHidden/>
    <w:qFormat/>
    <w:uiPriority w:val="99"/>
    <w:rPr>
      <w:b/>
      <w:bCs/>
      <w:kern w:val="2"/>
      <w:sz w:val="21"/>
      <w:szCs w:val="24"/>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34ef7c0-338b-438c-8e43-6b9ef3230698}"/>
        <w:style w:val=""/>
        <w:category>
          <w:name w:val="常规"/>
          <w:gallery w:val="placeholder"/>
        </w:category>
        <w:types>
          <w:type w:val="bbPlcHdr"/>
        </w:types>
        <w:behaviors>
          <w:behavior w:val="content"/>
        </w:behaviors>
        <w:description w:val=""/>
        <w:guid w:val="{b34ef7c0-338b-438c-8e43-6b9ef3230698}"/>
      </w:docPartPr>
      <w:docPartBody>
        <w:p>
          <w:r>
            <w:rPr>
              <w:color w:val="808080"/>
            </w:rPr>
            <w:t>单击此处输入文字。</w:t>
          </w:r>
        </w:p>
      </w:docPartBody>
    </w:docPart>
    <w:docPart>
      <w:docPartPr>
        <w:name w:val="{a5df25bd-3797-4aa9-95ce-06fe4f33633c}"/>
        <w:style w:val=""/>
        <w:category>
          <w:name w:val="常规"/>
          <w:gallery w:val="placeholder"/>
        </w:category>
        <w:types>
          <w:type w:val="bbPlcHdr"/>
        </w:types>
        <w:behaviors>
          <w:behavior w:val="content"/>
        </w:behaviors>
        <w:description w:val=""/>
        <w:guid w:val="{a5df25bd-3797-4aa9-95ce-06fe4f33633c}"/>
      </w:docPartPr>
      <w:docPartBody>
        <w:p>
          <w:r>
            <w:rPr>
              <w:color w:val="808080"/>
            </w:rPr>
            <w:t>单击此处输入文字。</w:t>
          </w:r>
        </w:p>
      </w:docPartBody>
    </w:docPart>
    <w:docPart>
      <w:docPartPr>
        <w:name w:val="{e437a52d-9aed-4624-94cd-6ca1bb08bc72}"/>
        <w:style w:val=""/>
        <w:category>
          <w:name w:val="常规"/>
          <w:gallery w:val="placeholder"/>
        </w:category>
        <w:types>
          <w:type w:val="bbPlcHdr"/>
        </w:types>
        <w:behaviors>
          <w:behavior w:val="content"/>
        </w:behaviors>
        <w:description w:val=""/>
        <w:guid w:val="{e437a52d-9aed-4624-94cd-6ca1bb08bc72}"/>
      </w:docPartPr>
      <w:docPartBody>
        <w:p>
          <w:r>
            <w:rPr>
              <w:color w:val="808080"/>
            </w:rPr>
            <w:t>单击此处输入文字。</w:t>
          </w:r>
        </w:p>
      </w:docPartBody>
    </w:docPart>
    <w:docPart>
      <w:docPartPr>
        <w:name w:val="{803990a5-45a0-4b82-8478-57d8bd42ffec}"/>
        <w:style w:val=""/>
        <w:category>
          <w:name w:val="常规"/>
          <w:gallery w:val="placeholder"/>
        </w:category>
        <w:types>
          <w:type w:val="bbPlcHdr"/>
        </w:types>
        <w:behaviors>
          <w:behavior w:val="content"/>
        </w:behaviors>
        <w:description w:val=""/>
        <w:guid w:val="{803990a5-45a0-4b82-8478-57d8bd42ffec}"/>
      </w:docPartPr>
      <w:docPartBody>
        <w:p>
          <w:r>
            <w:rPr>
              <w:color w:val="808080"/>
            </w:rPr>
            <w:t>单击此处输入文字。</w:t>
          </w:r>
        </w:p>
      </w:docPartBody>
    </w:docPart>
    <w:docPart>
      <w:docPartPr>
        <w:name w:val="{c53f4b8a-7785-4310-8f4f-d2b92157727f}"/>
        <w:style w:val=""/>
        <w:category>
          <w:name w:val="常规"/>
          <w:gallery w:val="placeholder"/>
        </w:category>
        <w:types>
          <w:type w:val="bbPlcHdr"/>
        </w:types>
        <w:behaviors>
          <w:behavior w:val="content"/>
        </w:behaviors>
        <w:description w:val=""/>
        <w:guid w:val="{c53f4b8a-7785-4310-8f4f-d2b92157727f}"/>
      </w:docPartPr>
      <w:docPartBody>
        <w:p>
          <w:r>
            <w:rPr>
              <w:color w:val="808080"/>
            </w:rPr>
            <w:t>单击此处输入文字。</w:t>
          </w:r>
        </w:p>
      </w:docPartBody>
    </w:docPart>
    <w:docPart>
      <w:docPartPr>
        <w:name w:val="{2017f8be-0e04-4491-b41d-f811a3817b3d}"/>
        <w:style w:val=""/>
        <w:category>
          <w:name w:val="常规"/>
          <w:gallery w:val="placeholder"/>
        </w:category>
        <w:types>
          <w:type w:val="bbPlcHdr"/>
        </w:types>
        <w:behaviors>
          <w:behavior w:val="content"/>
        </w:behaviors>
        <w:description w:val=""/>
        <w:guid w:val="{2017f8be-0e04-4491-b41d-f811a3817b3d}"/>
      </w:docPartPr>
      <w:docPartBody>
        <w:p>
          <w:r>
            <w:rPr>
              <w:color w:val="808080"/>
            </w:rPr>
            <w:t>单击此处输入文字。</w:t>
          </w:r>
        </w:p>
      </w:docPartBody>
    </w:docPart>
    <w:docPart>
      <w:docPartPr>
        <w:name w:val="{efc60f97-3edb-4638-8ae2-22bfa20e7dc7}"/>
        <w:style w:val=""/>
        <w:category>
          <w:name w:val="常规"/>
          <w:gallery w:val="placeholder"/>
        </w:category>
        <w:types>
          <w:type w:val="bbPlcHdr"/>
        </w:types>
        <w:behaviors>
          <w:behavior w:val="content"/>
        </w:behaviors>
        <w:description w:val=""/>
        <w:guid w:val="{efc60f97-3edb-4638-8ae2-22bfa20e7dc7}"/>
      </w:docPartPr>
      <w:docPartBody>
        <w:p>
          <w:r>
            <w:rPr>
              <w:color w:val="808080"/>
            </w:rPr>
            <w:t>单击此处输入文字。</w:t>
          </w:r>
        </w:p>
      </w:docPartBody>
    </w:docPart>
    <w:docPart>
      <w:docPartPr>
        <w:name w:val="{4389ac1c-c74e-4673-9450-e6c0a192ece2}"/>
        <w:style w:val=""/>
        <w:category>
          <w:name w:val="常规"/>
          <w:gallery w:val="placeholder"/>
        </w:category>
        <w:types>
          <w:type w:val="bbPlcHdr"/>
        </w:types>
        <w:behaviors>
          <w:behavior w:val="content"/>
        </w:behaviors>
        <w:description w:val=""/>
        <w:guid w:val="{4389ac1c-c74e-4673-9450-e6c0a192ece2}"/>
      </w:docPartPr>
      <w:docPartBody>
        <w:p>
          <w:r>
            <w:rPr>
              <w:color w:val="808080"/>
            </w:rPr>
            <w:t>单击此处输入文字。</w:t>
          </w:r>
        </w:p>
      </w:docPartBody>
    </w:docPart>
    <w:docPart>
      <w:docPartPr>
        <w:name w:val="{47fc42f0-68d9-4aa1-8ed1-f2b078c0aae2}"/>
        <w:style w:val=""/>
        <w:category>
          <w:name w:val="常规"/>
          <w:gallery w:val="placeholder"/>
        </w:category>
        <w:types>
          <w:type w:val="bbPlcHdr"/>
        </w:types>
        <w:behaviors>
          <w:behavior w:val="content"/>
        </w:behaviors>
        <w:description w:val=""/>
        <w:guid w:val="{47fc42f0-68d9-4aa1-8ed1-f2b078c0aae2}"/>
      </w:docPartPr>
      <w:docPartBody>
        <w:p>
          <w:r>
            <w:rPr>
              <w:color w:val="808080"/>
            </w:rPr>
            <w:t>单击此处输入文字。</w:t>
          </w:r>
        </w:p>
      </w:docPartBody>
    </w:docPart>
    <w:docPart>
      <w:docPartPr>
        <w:name w:val="{cc233169-03e5-4eaf-87a2-dabc3578615c}"/>
        <w:style w:val=""/>
        <w:category>
          <w:name w:val="常规"/>
          <w:gallery w:val="placeholder"/>
        </w:category>
        <w:types>
          <w:type w:val="bbPlcHdr"/>
        </w:types>
        <w:behaviors>
          <w:behavior w:val="content"/>
        </w:behaviors>
        <w:description w:val=""/>
        <w:guid w:val="{cc233169-03e5-4eaf-87a2-dabc3578615c}"/>
      </w:docPartPr>
      <w:docPartBody>
        <w:p>
          <w:r>
            <w:rPr>
              <w:color w:val="808080"/>
            </w:rPr>
            <w:t>单击此处输入文字。</w:t>
          </w:r>
        </w:p>
      </w:docPartBody>
    </w:docPart>
    <w:docPart>
      <w:docPartPr>
        <w:name w:val="{7395a35d-76ba-4580-b83c-8c0db338fc5e}"/>
        <w:style w:val=""/>
        <w:category>
          <w:name w:val="常规"/>
          <w:gallery w:val="placeholder"/>
        </w:category>
        <w:types>
          <w:type w:val="bbPlcHdr"/>
        </w:types>
        <w:behaviors>
          <w:behavior w:val="content"/>
        </w:behaviors>
        <w:description w:val=""/>
        <w:guid w:val="{7395a35d-76ba-4580-b83c-8c0db338fc5e}"/>
      </w:docPartPr>
      <w:docPartBody>
        <w:p>
          <w:r>
            <w:rPr>
              <w:color w:val="808080"/>
            </w:rPr>
            <w:t>单击此处输入文字。</w:t>
          </w:r>
        </w:p>
      </w:docPartBody>
    </w:docPart>
    <w:docPart>
      <w:docPartPr>
        <w:name w:val="{f024398a-1272-4a77-86a8-ae7e717582ea}"/>
        <w:style w:val=""/>
        <w:category>
          <w:name w:val="常规"/>
          <w:gallery w:val="placeholder"/>
        </w:category>
        <w:types>
          <w:type w:val="bbPlcHdr"/>
        </w:types>
        <w:behaviors>
          <w:behavior w:val="content"/>
        </w:behaviors>
        <w:description w:val=""/>
        <w:guid w:val="{f024398a-1272-4a77-86a8-ae7e717582ea}"/>
      </w:docPartPr>
      <w:docPartBody>
        <w:p>
          <w:r>
            <w:rPr>
              <w:color w:val="808080"/>
            </w:rPr>
            <w:t>单击此处输入文字。</w:t>
          </w:r>
        </w:p>
      </w:docPartBody>
    </w:docPart>
    <w:docPart>
      <w:docPartPr>
        <w:name w:val="{5d3cb0e4-06f6-436b-90dd-2c27014e1565}"/>
        <w:style w:val=""/>
        <w:category>
          <w:name w:val="常规"/>
          <w:gallery w:val="placeholder"/>
        </w:category>
        <w:types>
          <w:type w:val="bbPlcHdr"/>
        </w:types>
        <w:behaviors>
          <w:behavior w:val="content"/>
        </w:behaviors>
        <w:description w:val=""/>
        <w:guid w:val="{5d3cb0e4-06f6-436b-90dd-2c27014e1565}"/>
      </w:docPartPr>
      <w:docPartBody>
        <w:p>
          <w:r>
            <w:rPr>
              <w:color w:val="808080"/>
            </w:rPr>
            <w:t>单击此处输入文字。</w:t>
          </w:r>
        </w:p>
      </w:docPartBody>
    </w:docPart>
    <w:docPart>
      <w:docPartPr>
        <w:name w:val="{c3722da4-bb12-42b5-9feb-b1d35835d787}"/>
        <w:style w:val=""/>
        <w:category>
          <w:name w:val="常规"/>
          <w:gallery w:val="placeholder"/>
        </w:category>
        <w:types>
          <w:type w:val="bbPlcHdr"/>
        </w:types>
        <w:behaviors>
          <w:behavior w:val="content"/>
        </w:behaviors>
        <w:description w:val=""/>
        <w:guid w:val="{c3722da4-bb12-42b5-9feb-b1d35835d787}"/>
      </w:docPartPr>
      <w:docPartBody>
        <w:p>
          <w:r>
            <w:rPr>
              <w:color w:val="808080"/>
            </w:rPr>
            <w:t>单击此处输入文字。</w:t>
          </w:r>
        </w:p>
      </w:docPartBody>
    </w:docPart>
    <w:docPart>
      <w:docPartPr>
        <w:name w:val="{ed51a7cd-481c-48ab-b571-5ce9ce951cd4}"/>
        <w:style w:val=""/>
        <w:category>
          <w:name w:val="常规"/>
          <w:gallery w:val="placeholder"/>
        </w:category>
        <w:types>
          <w:type w:val="bbPlcHdr"/>
        </w:types>
        <w:behaviors>
          <w:behavior w:val="content"/>
        </w:behaviors>
        <w:description w:val=""/>
        <w:guid w:val="{ed51a7cd-481c-48ab-b571-5ce9ce951cd4}"/>
      </w:docPartPr>
      <w:docPartBody>
        <w:p>
          <w:r>
            <w:rPr>
              <w:color w:val="808080"/>
            </w:rPr>
            <w:t>单击此处输入文字。</w:t>
          </w:r>
        </w:p>
      </w:docPartBody>
    </w:docPart>
    <w:docPart>
      <w:docPartPr>
        <w:name w:val="{74ad05b3-d602-4602-b188-dc97a83215e7}"/>
        <w:style w:val=""/>
        <w:category>
          <w:name w:val="常规"/>
          <w:gallery w:val="placeholder"/>
        </w:category>
        <w:types>
          <w:type w:val="bbPlcHdr"/>
        </w:types>
        <w:behaviors>
          <w:behavior w:val="content"/>
        </w:behaviors>
        <w:description w:val=""/>
        <w:guid w:val="{74ad05b3-d602-4602-b188-dc97a83215e7}"/>
      </w:docPartPr>
      <w:docPartBody>
        <w:p>
          <w:r>
            <w:rPr>
              <w:color w:val="808080"/>
            </w:rPr>
            <w:t>单击此处输入文字。</w:t>
          </w:r>
        </w:p>
      </w:docPartBody>
    </w:docPart>
    <w:docPart>
      <w:docPartPr>
        <w:name w:val="{f5e54721-e7d6-4975-80bc-d3ab487f562a}"/>
        <w:style w:val=""/>
        <w:category>
          <w:name w:val="常规"/>
          <w:gallery w:val="placeholder"/>
        </w:category>
        <w:types>
          <w:type w:val="bbPlcHdr"/>
        </w:types>
        <w:behaviors>
          <w:behavior w:val="content"/>
        </w:behaviors>
        <w:description w:val=""/>
        <w:guid w:val="{f5e54721-e7d6-4975-80bc-d3ab487f562a}"/>
      </w:docPartPr>
      <w:docPartBody>
        <w:p>
          <w:r>
            <w:rPr>
              <w:color w:val="808080"/>
            </w:rPr>
            <w:t>单击此处输入文字。</w:t>
          </w:r>
        </w:p>
      </w:docPartBody>
    </w:docPart>
    <w:docPart>
      <w:docPartPr>
        <w:name w:val="{489c7d61-5ff3-4888-8548-95ed3965b651}"/>
        <w:style w:val=""/>
        <w:category>
          <w:name w:val="常规"/>
          <w:gallery w:val="placeholder"/>
        </w:category>
        <w:types>
          <w:type w:val="bbPlcHdr"/>
        </w:types>
        <w:behaviors>
          <w:behavior w:val="content"/>
        </w:behaviors>
        <w:description w:val=""/>
        <w:guid w:val="{489c7d61-5ff3-4888-8548-95ed3965b651}"/>
      </w:docPartPr>
      <w:docPartBody>
        <w:p>
          <w:r>
            <w:rPr>
              <w:color w:val="808080"/>
            </w:rPr>
            <w:t>单击此处输入文字。</w:t>
          </w:r>
        </w:p>
      </w:docPartBody>
    </w:docPart>
    <w:docPart>
      <w:docPartPr>
        <w:name w:val="{6650f6d5-b2fd-4571-9ed5-bbb61bddae82}"/>
        <w:style w:val=""/>
        <w:category>
          <w:name w:val="常规"/>
          <w:gallery w:val="placeholder"/>
        </w:category>
        <w:types>
          <w:type w:val="bbPlcHdr"/>
        </w:types>
        <w:behaviors>
          <w:behavior w:val="content"/>
        </w:behaviors>
        <w:description w:val=""/>
        <w:guid w:val="{6650f6d5-b2fd-4571-9ed5-bbb61bddae82}"/>
      </w:docPartPr>
      <w:docPartBody>
        <w:p>
          <w:r>
            <w:rPr>
              <w:color w:val="808080"/>
            </w:rPr>
            <w:t>单击此处输入文字。</w:t>
          </w:r>
        </w:p>
      </w:docPartBody>
    </w:docPart>
    <w:docPart>
      <w:docPartPr>
        <w:name w:val="{37d635dc-fa73-4a41-b90e-aa97c593455c}"/>
        <w:style w:val=""/>
        <w:category>
          <w:name w:val="常规"/>
          <w:gallery w:val="placeholder"/>
        </w:category>
        <w:types>
          <w:type w:val="bbPlcHdr"/>
        </w:types>
        <w:behaviors>
          <w:behavior w:val="content"/>
        </w:behaviors>
        <w:description w:val=""/>
        <w:guid w:val="{37d635dc-fa73-4a41-b90e-aa97c593455c}"/>
      </w:docPartPr>
      <w:docPartBody>
        <w:p>
          <w:r>
            <w:rPr>
              <w:color w:val="808080"/>
            </w:rPr>
            <w:t>单击此处输入文字。</w:t>
          </w:r>
        </w:p>
      </w:docPartBody>
    </w:docPart>
    <w:docPart>
      <w:docPartPr>
        <w:name w:val="{4ce05003-4c75-4a2a-aba0-d586e1dde686}"/>
        <w:style w:val=""/>
        <w:category>
          <w:name w:val="常规"/>
          <w:gallery w:val="placeholder"/>
        </w:category>
        <w:types>
          <w:type w:val="bbPlcHdr"/>
        </w:types>
        <w:behaviors>
          <w:behavior w:val="content"/>
        </w:behaviors>
        <w:description w:val=""/>
        <w:guid w:val="{4ce05003-4c75-4a2a-aba0-d586e1dde686}"/>
      </w:docPartPr>
      <w:docPartBody>
        <w:p>
          <w:r>
            <w:rPr>
              <w:color w:val="808080"/>
            </w:rPr>
            <w:t>单击此处输入文字。</w:t>
          </w:r>
        </w:p>
      </w:docPartBody>
    </w:docPart>
    <w:docPart>
      <w:docPartPr>
        <w:name w:val="{c3f54560-3eb9-40d1-981a-4d8a4db5c5af}"/>
        <w:style w:val=""/>
        <w:category>
          <w:name w:val="常规"/>
          <w:gallery w:val="placeholder"/>
        </w:category>
        <w:types>
          <w:type w:val="bbPlcHdr"/>
        </w:types>
        <w:behaviors>
          <w:behavior w:val="content"/>
        </w:behaviors>
        <w:description w:val=""/>
        <w:guid w:val="{c3f54560-3eb9-40d1-981a-4d8a4db5c5af}"/>
      </w:docPartPr>
      <w:docPartBody>
        <w:p>
          <w:r>
            <w:rPr>
              <w:color w:val="808080"/>
            </w:rPr>
            <w:t>单击此处输入文字。</w:t>
          </w:r>
        </w:p>
      </w:docPartBody>
    </w:docPart>
    <w:docPart>
      <w:docPartPr>
        <w:name w:val="{c3d413f5-85be-42b7-bc19-62b1d3841047}"/>
        <w:style w:val=""/>
        <w:category>
          <w:name w:val="常规"/>
          <w:gallery w:val="placeholder"/>
        </w:category>
        <w:types>
          <w:type w:val="bbPlcHdr"/>
        </w:types>
        <w:behaviors>
          <w:behavior w:val="content"/>
        </w:behaviors>
        <w:description w:val=""/>
        <w:guid w:val="{c3d413f5-85be-42b7-bc19-62b1d3841047}"/>
      </w:docPartPr>
      <w:docPartBody>
        <w:p>
          <w:r>
            <w:rPr>
              <w:color w:val="808080"/>
            </w:rPr>
            <w:t>单击此处输入文字。</w:t>
          </w:r>
        </w:p>
      </w:docPartBody>
    </w:docPart>
    <w:docPart>
      <w:docPartPr>
        <w:name w:val="{bf7d8ec4-5d85-47ac-b954-cf821d92b0d4}"/>
        <w:style w:val=""/>
        <w:category>
          <w:name w:val="常规"/>
          <w:gallery w:val="placeholder"/>
        </w:category>
        <w:types>
          <w:type w:val="bbPlcHdr"/>
        </w:types>
        <w:behaviors>
          <w:behavior w:val="content"/>
        </w:behaviors>
        <w:description w:val=""/>
        <w:guid w:val="{bf7d8ec4-5d85-47ac-b954-cf821d92b0d4}"/>
      </w:docPartPr>
      <w:docPartBody>
        <w:p>
          <w:r>
            <w:rPr>
              <w:color w:val="808080"/>
            </w:rPr>
            <w:t>单击此处输入文字。</w:t>
          </w:r>
        </w:p>
      </w:docPartBody>
    </w:docPart>
    <w:docPart>
      <w:docPartPr>
        <w:name w:val="{a3817a67-b718-42f8-b647-a1d8baa3698e}"/>
        <w:style w:val=""/>
        <w:category>
          <w:name w:val="常规"/>
          <w:gallery w:val="placeholder"/>
        </w:category>
        <w:types>
          <w:type w:val="bbPlcHdr"/>
        </w:types>
        <w:behaviors>
          <w:behavior w:val="content"/>
        </w:behaviors>
        <w:description w:val=""/>
        <w:guid w:val="{a3817a67-b718-42f8-b647-a1d8baa3698e}"/>
      </w:docPartPr>
      <w:docPartBody>
        <w:p>
          <w:r>
            <w:rPr>
              <w:color w:val="808080"/>
            </w:rPr>
            <w:t>单击此处输入文字。</w:t>
          </w:r>
        </w:p>
      </w:docPartBody>
    </w:docPart>
    <w:docPart>
      <w:docPartPr>
        <w:name w:val="{bdb1e5d5-e295-4121-9af5-05fa71b5b1d0}"/>
        <w:style w:val=""/>
        <w:category>
          <w:name w:val="常规"/>
          <w:gallery w:val="placeholder"/>
        </w:category>
        <w:types>
          <w:type w:val="bbPlcHdr"/>
        </w:types>
        <w:behaviors>
          <w:behavior w:val="content"/>
        </w:behaviors>
        <w:description w:val=""/>
        <w:guid w:val="{bdb1e5d5-e295-4121-9af5-05fa71b5b1d0}"/>
      </w:docPartPr>
      <w:docPartBody>
        <w:p>
          <w:r>
            <w:rPr>
              <w:color w:val="808080"/>
            </w:rPr>
            <w:t>单击此处输入文字。</w:t>
          </w:r>
        </w:p>
      </w:docPartBody>
    </w:docPart>
    <w:docPart>
      <w:docPartPr>
        <w:name w:val="{ad698c1e-88ea-445e-bbcc-cf78240a5ef2}"/>
        <w:style w:val=""/>
        <w:category>
          <w:name w:val="常规"/>
          <w:gallery w:val="placeholder"/>
        </w:category>
        <w:types>
          <w:type w:val="bbPlcHdr"/>
        </w:types>
        <w:behaviors>
          <w:behavior w:val="content"/>
        </w:behaviors>
        <w:description w:val=""/>
        <w:guid w:val="{ad698c1e-88ea-445e-bbcc-cf78240a5ef2}"/>
      </w:docPartPr>
      <w:docPartBody>
        <w:p>
          <w:r>
            <w:rPr>
              <w:color w:val="808080"/>
            </w:rPr>
            <w:t>单击此处输入文字。</w:t>
          </w:r>
        </w:p>
      </w:docPartBody>
    </w:docPart>
    <w:docPart>
      <w:docPartPr>
        <w:name w:val="{891679b2-c191-4a94-80d5-205f06a21270}"/>
        <w:style w:val=""/>
        <w:category>
          <w:name w:val="常规"/>
          <w:gallery w:val="placeholder"/>
        </w:category>
        <w:types>
          <w:type w:val="bbPlcHdr"/>
        </w:types>
        <w:behaviors>
          <w:behavior w:val="content"/>
        </w:behaviors>
        <w:description w:val=""/>
        <w:guid w:val="{891679b2-c191-4a94-80d5-205f06a21270}"/>
      </w:docPartPr>
      <w:docPartBody>
        <w:p>
          <w:r>
            <w:rPr>
              <w:color w:val="808080"/>
            </w:rPr>
            <w:t>单击此处输入文字。</w:t>
          </w:r>
        </w:p>
      </w:docPartBody>
    </w:docPart>
    <w:docPart>
      <w:docPartPr>
        <w:name w:val="{a38f1c39-e688-460b-b999-a2a7bbe6a0db}"/>
        <w:style w:val=""/>
        <w:category>
          <w:name w:val="常规"/>
          <w:gallery w:val="placeholder"/>
        </w:category>
        <w:types>
          <w:type w:val="bbPlcHdr"/>
        </w:types>
        <w:behaviors>
          <w:behavior w:val="content"/>
        </w:behaviors>
        <w:description w:val=""/>
        <w:guid w:val="{a38f1c39-e688-460b-b999-a2a7bbe6a0db}"/>
      </w:docPartPr>
      <w:docPartBody>
        <w:p>
          <w:r>
            <w:rPr>
              <w:color w:val="808080"/>
            </w:rPr>
            <w:t>单击此处输入文字。</w:t>
          </w:r>
        </w:p>
      </w:docPartBody>
    </w:docPart>
    <w:docPart>
      <w:docPartPr>
        <w:name w:val="{d1788f71-aad1-46ba-9896-4c688cf0caf7}"/>
        <w:style w:val=""/>
        <w:category>
          <w:name w:val="常规"/>
          <w:gallery w:val="placeholder"/>
        </w:category>
        <w:types>
          <w:type w:val="bbPlcHdr"/>
        </w:types>
        <w:behaviors>
          <w:behavior w:val="content"/>
        </w:behaviors>
        <w:description w:val=""/>
        <w:guid w:val="{d1788f71-aad1-46ba-9896-4c688cf0caf7}"/>
      </w:docPartPr>
      <w:docPartBody>
        <w:p>
          <w:r>
            <w:rPr>
              <w:color w:val="808080"/>
            </w:rPr>
            <w:t>单击此处输入文字。</w:t>
          </w:r>
        </w:p>
      </w:docPartBody>
    </w:docPart>
    <w:docPart>
      <w:docPartPr>
        <w:name w:val="{10341e91-9c3c-4d64-9cb3-49e55985a1fc}"/>
        <w:style w:val=""/>
        <w:category>
          <w:name w:val="常规"/>
          <w:gallery w:val="placeholder"/>
        </w:category>
        <w:types>
          <w:type w:val="bbPlcHdr"/>
        </w:types>
        <w:behaviors>
          <w:behavior w:val="content"/>
        </w:behaviors>
        <w:description w:val=""/>
        <w:guid w:val="{10341e91-9c3c-4d64-9cb3-49e55985a1fc}"/>
      </w:docPartPr>
      <w:docPartBody>
        <w:p>
          <w:r>
            <w:rPr>
              <w:color w:val="808080"/>
            </w:rPr>
            <w:t>单击此处输入文字。</w:t>
          </w:r>
        </w:p>
      </w:docPartBody>
    </w:docPart>
    <w:docPart>
      <w:docPartPr>
        <w:name w:val="{c8b7d406-5031-4a4a-953c-d7a710a9aa26}"/>
        <w:style w:val=""/>
        <w:category>
          <w:name w:val="常规"/>
          <w:gallery w:val="placeholder"/>
        </w:category>
        <w:types>
          <w:type w:val="bbPlcHdr"/>
        </w:types>
        <w:behaviors>
          <w:behavior w:val="content"/>
        </w:behaviors>
        <w:description w:val=""/>
        <w:guid w:val="{c8b7d406-5031-4a4a-953c-d7a710a9aa26}"/>
      </w:docPartPr>
      <w:docPartBody>
        <w:p>
          <w:r>
            <w:rPr>
              <w:color w:val="808080"/>
            </w:rPr>
            <w:t>单击此处输入文字。</w:t>
          </w:r>
        </w:p>
      </w:docPartBody>
    </w:docPart>
    <w:docPart>
      <w:docPartPr>
        <w:name w:val="{c25e5636-caf7-44b8-be39-245da716e1f6}"/>
        <w:style w:val=""/>
        <w:category>
          <w:name w:val="常规"/>
          <w:gallery w:val="placeholder"/>
        </w:category>
        <w:types>
          <w:type w:val="bbPlcHdr"/>
        </w:types>
        <w:behaviors>
          <w:behavior w:val="content"/>
        </w:behaviors>
        <w:description w:val=""/>
        <w:guid w:val="{c25e5636-caf7-44b8-be39-245da716e1f6}"/>
      </w:docPartPr>
      <w:docPartBody>
        <w:p>
          <w:r>
            <w:rPr>
              <w:color w:val="808080"/>
            </w:rPr>
            <w:t>单击此处输入文字。</w:t>
          </w:r>
        </w:p>
      </w:docPartBody>
    </w:docPart>
    <w:docPart>
      <w:docPartPr>
        <w:name w:val="{3b5b72ed-8f3f-40c0-9b67-807488f2f8e5}"/>
        <w:style w:val=""/>
        <w:category>
          <w:name w:val="常规"/>
          <w:gallery w:val="placeholder"/>
        </w:category>
        <w:types>
          <w:type w:val="bbPlcHdr"/>
        </w:types>
        <w:behaviors>
          <w:behavior w:val="content"/>
        </w:behaviors>
        <w:description w:val=""/>
        <w:guid w:val="{3b5b72ed-8f3f-40c0-9b67-807488f2f8e5}"/>
      </w:docPartPr>
      <w:docPartBody>
        <w:p>
          <w:r>
            <w:rPr>
              <w:color w:val="808080"/>
            </w:rPr>
            <w:t>单击此处输入文字。</w:t>
          </w:r>
        </w:p>
      </w:docPartBody>
    </w:docPart>
    <w:docPart>
      <w:docPartPr>
        <w:name w:val="{a90e2c26-5434-4aaf-b5eb-325b7f327ada}"/>
        <w:style w:val=""/>
        <w:category>
          <w:name w:val="常规"/>
          <w:gallery w:val="placeholder"/>
        </w:category>
        <w:types>
          <w:type w:val="bbPlcHdr"/>
        </w:types>
        <w:behaviors>
          <w:behavior w:val="content"/>
        </w:behaviors>
        <w:description w:val=""/>
        <w:guid w:val="{a90e2c26-5434-4aaf-b5eb-325b7f327ada}"/>
      </w:docPartPr>
      <w:docPartBody>
        <w:p>
          <w:r>
            <w:rPr>
              <w:color w:val="808080"/>
            </w:rPr>
            <w:t>单击此处输入文字。</w:t>
          </w:r>
        </w:p>
      </w:docPartBody>
    </w:docPart>
    <w:docPart>
      <w:docPartPr>
        <w:name w:val="{83a0736f-c751-44aa-8aff-9a72bc8ef71d}"/>
        <w:style w:val=""/>
        <w:category>
          <w:name w:val="常规"/>
          <w:gallery w:val="placeholder"/>
        </w:category>
        <w:types>
          <w:type w:val="bbPlcHdr"/>
        </w:types>
        <w:behaviors>
          <w:behavior w:val="content"/>
        </w:behaviors>
        <w:description w:val=""/>
        <w:guid w:val="{83a0736f-c751-44aa-8aff-9a72bc8ef71d}"/>
      </w:docPartPr>
      <w:docPartBody>
        <w:p>
          <w:r>
            <w:rPr>
              <w:color w:val="808080"/>
            </w:rPr>
            <w:t>单击此处输入文字。</w:t>
          </w:r>
        </w:p>
      </w:docPartBody>
    </w:docPart>
    <w:docPart>
      <w:docPartPr>
        <w:name w:val="{f95e4998-0492-4818-9c2e-2e800988b077}"/>
        <w:style w:val=""/>
        <w:category>
          <w:name w:val="常规"/>
          <w:gallery w:val="placeholder"/>
        </w:category>
        <w:types>
          <w:type w:val="bbPlcHdr"/>
        </w:types>
        <w:behaviors>
          <w:behavior w:val="content"/>
        </w:behaviors>
        <w:description w:val=""/>
        <w:guid w:val="{f95e4998-0492-4818-9c2e-2e800988b077}"/>
      </w:docPartPr>
      <w:docPartBody>
        <w:p>
          <w:r>
            <w:rPr>
              <w:color w:val="808080"/>
            </w:rPr>
            <w:t>单击此处输入文字。</w:t>
          </w:r>
        </w:p>
      </w:docPartBody>
    </w:docPart>
    <w:docPart>
      <w:docPartPr>
        <w:name w:val="{d908bf81-8c53-4d25-bf22-6ad5ddd3fc61}"/>
        <w:style w:val=""/>
        <w:category>
          <w:name w:val="常规"/>
          <w:gallery w:val="placeholder"/>
        </w:category>
        <w:types>
          <w:type w:val="bbPlcHdr"/>
        </w:types>
        <w:behaviors>
          <w:behavior w:val="content"/>
        </w:behaviors>
        <w:description w:val=""/>
        <w:guid w:val="{d908bf81-8c53-4d25-bf22-6ad5ddd3fc61}"/>
      </w:docPartPr>
      <w:docPartBody>
        <w:p>
          <w:r>
            <w:rPr>
              <w:color w:val="808080"/>
            </w:rPr>
            <w:t>单击此处输入文字。</w:t>
          </w:r>
        </w:p>
      </w:docPartBody>
    </w:docPart>
    <w:docPart>
      <w:docPartPr>
        <w:name w:val="{9f2c2f48-27ef-480d-ac86-3d7266966aa5}"/>
        <w:style w:val=""/>
        <w:category>
          <w:name w:val="常规"/>
          <w:gallery w:val="placeholder"/>
        </w:category>
        <w:types>
          <w:type w:val="bbPlcHdr"/>
        </w:types>
        <w:behaviors>
          <w:behavior w:val="content"/>
        </w:behaviors>
        <w:description w:val=""/>
        <w:guid w:val="{9f2c2f48-27ef-480d-ac86-3d7266966aa5}"/>
      </w:docPartPr>
      <w:docPartBody>
        <w:p>
          <w:r>
            <w:rPr>
              <w:color w:val="808080"/>
            </w:rPr>
            <w:t>单击此处输入文字。</w:t>
          </w:r>
        </w:p>
      </w:docPartBody>
    </w:docPart>
    <w:docPart>
      <w:docPartPr>
        <w:name w:val="{3737b07c-1f7d-4343-8a2e-8c75cc7c206c}"/>
        <w:style w:val=""/>
        <w:category>
          <w:name w:val="常规"/>
          <w:gallery w:val="placeholder"/>
        </w:category>
        <w:types>
          <w:type w:val="bbPlcHdr"/>
        </w:types>
        <w:behaviors>
          <w:behavior w:val="content"/>
        </w:behaviors>
        <w:description w:val=""/>
        <w:guid w:val="{3737b07c-1f7d-4343-8a2e-8c75cc7c206c}"/>
      </w:docPartPr>
      <w:docPartBody>
        <w:p>
          <w:r>
            <w:rPr>
              <w:color w:val="808080"/>
            </w:rPr>
            <w:t>单击此处输入文字。</w:t>
          </w:r>
        </w:p>
      </w:docPartBody>
    </w:docPart>
    <w:docPart>
      <w:docPartPr>
        <w:name w:val="{896d8dbc-11d1-4055-b3c3-d88a5b7e2011}"/>
        <w:style w:val=""/>
        <w:category>
          <w:name w:val="常规"/>
          <w:gallery w:val="placeholder"/>
        </w:category>
        <w:types>
          <w:type w:val="bbPlcHdr"/>
        </w:types>
        <w:behaviors>
          <w:behavior w:val="content"/>
        </w:behaviors>
        <w:description w:val=""/>
        <w:guid w:val="{896d8dbc-11d1-4055-b3c3-d88a5b7e2011}"/>
      </w:docPartPr>
      <w:docPartBody>
        <w:p>
          <w:r>
            <w:rPr>
              <w:color w:val="808080"/>
            </w:rPr>
            <w:t>单击此处输入文字。</w:t>
          </w:r>
        </w:p>
      </w:docPartBody>
    </w:docPart>
    <w:docPart>
      <w:docPartPr>
        <w:name w:val="{ab4c198e-12b7-47bf-9dc4-1b230c2e775e}"/>
        <w:style w:val=""/>
        <w:category>
          <w:name w:val="常规"/>
          <w:gallery w:val="placeholder"/>
        </w:category>
        <w:types>
          <w:type w:val="bbPlcHdr"/>
        </w:types>
        <w:behaviors>
          <w:behavior w:val="content"/>
        </w:behaviors>
        <w:description w:val=""/>
        <w:guid w:val="{ab4c198e-12b7-47bf-9dc4-1b230c2e775e}"/>
      </w:docPartPr>
      <w:docPartBody>
        <w:p>
          <w:r>
            <w:rPr>
              <w:color w:val="808080"/>
            </w:rPr>
            <w:t>单击此处输入文字。</w:t>
          </w:r>
        </w:p>
      </w:docPartBody>
    </w:docPart>
    <w:docPart>
      <w:docPartPr>
        <w:name w:val="{2ab39b50-cb3a-47b5-9023-af33eff6b4a8}"/>
        <w:style w:val=""/>
        <w:category>
          <w:name w:val="常规"/>
          <w:gallery w:val="placeholder"/>
        </w:category>
        <w:types>
          <w:type w:val="bbPlcHdr"/>
        </w:types>
        <w:behaviors>
          <w:behavior w:val="content"/>
        </w:behaviors>
        <w:description w:val=""/>
        <w:guid w:val="{2ab39b50-cb3a-47b5-9023-af33eff6b4a8}"/>
      </w:docPartPr>
      <w:docPartBody>
        <w:p>
          <w:r>
            <w:rPr>
              <w:color w:val="808080"/>
            </w:rPr>
            <w:t>单击此处输入文字。</w:t>
          </w:r>
        </w:p>
      </w:docPartBody>
    </w:docPart>
    <w:docPart>
      <w:docPartPr>
        <w:name w:val="{9dbdf6c3-c7f4-47c2-ab29-9dd8d9283f80}"/>
        <w:style w:val=""/>
        <w:category>
          <w:name w:val="常规"/>
          <w:gallery w:val="placeholder"/>
        </w:category>
        <w:types>
          <w:type w:val="bbPlcHdr"/>
        </w:types>
        <w:behaviors>
          <w:behavior w:val="content"/>
        </w:behaviors>
        <w:description w:val=""/>
        <w:guid w:val="{9dbdf6c3-c7f4-47c2-ab29-9dd8d9283f80}"/>
      </w:docPartPr>
      <w:docPartBody>
        <w:p>
          <w:r>
            <w:rPr>
              <w:color w:val="808080"/>
            </w:rPr>
            <w:t>单击此处输入文字。</w:t>
          </w:r>
        </w:p>
      </w:docPartBody>
    </w:docPart>
    <w:docPart>
      <w:docPartPr>
        <w:name w:val="{79ce6d61-6283-48fd-bb62-7878267c2fc1}"/>
        <w:style w:val=""/>
        <w:category>
          <w:name w:val="常规"/>
          <w:gallery w:val="placeholder"/>
        </w:category>
        <w:types>
          <w:type w:val="bbPlcHdr"/>
        </w:types>
        <w:behaviors>
          <w:behavior w:val="content"/>
        </w:behaviors>
        <w:description w:val=""/>
        <w:guid w:val="{79ce6d61-6283-48fd-bb62-7878267c2fc1}"/>
      </w:docPartPr>
      <w:docPartBody>
        <w:p>
          <w:r>
            <w:rPr>
              <w:color w:val="808080"/>
            </w:rPr>
            <w:t>单击此处输入文字。</w:t>
          </w:r>
        </w:p>
      </w:docPartBody>
    </w:docPart>
    <w:docPart>
      <w:docPartPr>
        <w:name w:val="{ad7edd65-2030-4389-ac2e-9182c5e2d2b3}"/>
        <w:style w:val=""/>
        <w:category>
          <w:name w:val="常规"/>
          <w:gallery w:val="placeholder"/>
        </w:category>
        <w:types>
          <w:type w:val="bbPlcHdr"/>
        </w:types>
        <w:behaviors>
          <w:behavior w:val="content"/>
        </w:behaviors>
        <w:description w:val=""/>
        <w:guid w:val="{ad7edd65-2030-4389-ac2e-9182c5e2d2b3}"/>
      </w:docPartPr>
      <w:docPartBody>
        <w:p>
          <w:r>
            <w:rPr>
              <w:color w:val="808080"/>
            </w:rPr>
            <w:t>单击此处输入文字。</w:t>
          </w:r>
        </w:p>
      </w:docPartBody>
    </w:docPart>
    <w:docPart>
      <w:docPartPr>
        <w:name w:val="{41b9d21b-6f8e-4cf6-aa10-114f563a0493}"/>
        <w:style w:val=""/>
        <w:category>
          <w:name w:val="常规"/>
          <w:gallery w:val="placeholder"/>
        </w:category>
        <w:types>
          <w:type w:val="bbPlcHdr"/>
        </w:types>
        <w:behaviors>
          <w:behavior w:val="content"/>
        </w:behaviors>
        <w:description w:val=""/>
        <w:guid w:val="{41b9d21b-6f8e-4cf6-aa10-114f563a0493}"/>
      </w:docPartPr>
      <w:docPartBody>
        <w:p>
          <w:r>
            <w:rPr>
              <w:color w:val="808080"/>
            </w:rPr>
            <w:t>单击此处输入文字。</w:t>
          </w:r>
        </w:p>
      </w:docPartBody>
    </w:docPart>
    <w:docPart>
      <w:docPartPr>
        <w:name w:val="{4af1b8af-12d5-4454-81ed-1fc3fb0ce63c}"/>
        <w:style w:val=""/>
        <w:category>
          <w:name w:val="常规"/>
          <w:gallery w:val="placeholder"/>
        </w:category>
        <w:types>
          <w:type w:val="bbPlcHdr"/>
        </w:types>
        <w:behaviors>
          <w:behavior w:val="content"/>
        </w:behaviors>
        <w:description w:val=""/>
        <w:guid w:val="{4af1b8af-12d5-4454-81ed-1fc3fb0ce63c}"/>
      </w:docPartPr>
      <w:docPartBody>
        <w:p>
          <w:r>
            <w:rPr>
              <w:color w:val="808080"/>
            </w:rPr>
            <w:t>单击此处输入文字。</w:t>
          </w:r>
        </w:p>
      </w:docPartBody>
    </w:docPart>
    <w:docPart>
      <w:docPartPr>
        <w:name w:val="{e10c0e28-8a1b-4edc-b717-9aebd52e0db2}"/>
        <w:style w:val=""/>
        <w:category>
          <w:name w:val="常规"/>
          <w:gallery w:val="placeholder"/>
        </w:category>
        <w:types>
          <w:type w:val="bbPlcHdr"/>
        </w:types>
        <w:behaviors>
          <w:behavior w:val="content"/>
        </w:behaviors>
        <w:description w:val=""/>
        <w:guid w:val="{e10c0e28-8a1b-4edc-b717-9aebd52e0db2}"/>
      </w:docPartPr>
      <w:docPartBody>
        <w:p>
          <w:r>
            <w:rPr>
              <w:color w:val="808080"/>
            </w:rPr>
            <w:t>单击此处输入文字。</w:t>
          </w:r>
        </w:p>
      </w:docPartBody>
    </w:docPart>
    <w:docPart>
      <w:docPartPr>
        <w:name w:val="{db2f97fb-f907-4a22-b5fa-71020a682fcc}"/>
        <w:style w:val=""/>
        <w:category>
          <w:name w:val="常规"/>
          <w:gallery w:val="placeholder"/>
        </w:category>
        <w:types>
          <w:type w:val="bbPlcHdr"/>
        </w:types>
        <w:behaviors>
          <w:behavior w:val="content"/>
        </w:behaviors>
        <w:description w:val=""/>
        <w:guid w:val="{db2f97fb-f907-4a22-b5fa-71020a682fcc}"/>
      </w:docPartPr>
      <w:docPartBody>
        <w:p>
          <w:r>
            <w:rPr>
              <w:color w:val="808080"/>
            </w:rPr>
            <w:t>单击此处输入文字。</w:t>
          </w:r>
        </w:p>
      </w:docPartBody>
    </w:docPart>
    <w:docPart>
      <w:docPartPr>
        <w:name w:val="{5acc107e-a8af-4202-a288-d40207ff3dd3}"/>
        <w:style w:val=""/>
        <w:category>
          <w:name w:val="常规"/>
          <w:gallery w:val="placeholder"/>
        </w:category>
        <w:types>
          <w:type w:val="bbPlcHdr"/>
        </w:types>
        <w:behaviors>
          <w:behavior w:val="content"/>
        </w:behaviors>
        <w:description w:val=""/>
        <w:guid w:val="{5acc107e-a8af-4202-a288-d40207ff3dd3}"/>
      </w:docPartPr>
      <w:docPartBody>
        <w:p>
          <w:r>
            <w:rPr>
              <w:color w:val="808080"/>
            </w:rPr>
            <w:t>单击此处输入文字。</w:t>
          </w:r>
        </w:p>
      </w:docPartBody>
    </w:docPart>
    <w:docPart>
      <w:docPartPr>
        <w:name w:val="{b6170397-8a45-412f-885f-e8595aa5764b}"/>
        <w:style w:val=""/>
        <w:category>
          <w:name w:val="常规"/>
          <w:gallery w:val="placeholder"/>
        </w:category>
        <w:types>
          <w:type w:val="bbPlcHdr"/>
        </w:types>
        <w:behaviors>
          <w:behavior w:val="content"/>
        </w:behaviors>
        <w:description w:val=""/>
        <w:guid w:val="{b6170397-8a45-412f-885f-e8595aa5764b}"/>
      </w:docPartPr>
      <w:docPartBody>
        <w:p>
          <w:r>
            <w:rPr>
              <w:color w:val="808080"/>
            </w:rPr>
            <w:t>单击此处输入文字。</w:t>
          </w:r>
        </w:p>
      </w:docPartBody>
    </w:docPart>
    <w:docPart>
      <w:docPartPr>
        <w:name w:val="{94f7c4b0-66eb-4684-9e58-f8e9f72a1179}"/>
        <w:style w:val=""/>
        <w:category>
          <w:name w:val="常规"/>
          <w:gallery w:val="placeholder"/>
        </w:category>
        <w:types>
          <w:type w:val="bbPlcHdr"/>
        </w:types>
        <w:behaviors>
          <w:behavior w:val="content"/>
        </w:behaviors>
        <w:description w:val=""/>
        <w:guid w:val="{94f7c4b0-66eb-4684-9e58-f8e9f72a1179}"/>
      </w:docPartPr>
      <w:docPartBody>
        <w:p>
          <w:r>
            <w:rPr>
              <w:color w:val="808080"/>
            </w:rPr>
            <w:t>单击此处输入文字。</w:t>
          </w:r>
        </w:p>
      </w:docPartBody>
    </w:docPart>
    <w:docPart>
      <w:docPartPr>
        <w:name w:val="{00d18502-1c1f-4ec3-8277-80ca7edd66da}"/>
        <w:style w:val=""/>
        <w:category>
          <w:name w:val="常规"/>
          <w:gallery w:val="placeholder"/>
        </w:category>
        <w:types>
          <w:type w:val="bbPlcHdr"/>
        </w:types>
        <w:behaviors>
          <w:behavior w:val="content"/>
        </w:behaviors>
        <w:description w:val=""/>
        <w:guid w:val="{00d18502-1c1f-4ec3-8277-80ca7edd66da}"/>
      </w:docPartPr>
      <w:docPartBody>
        <w:p>
          <w:r>
            <w:rPr>
              <w:color w:val="808080"/>
            </w:rPr>
            <w:t>单击此处输入文字。</w:t>
          </w:r>
        </w:p>
      </w:docPartBody>
    </w:docPart>
    <w:docPart>
      <w:docPartPr>
        <w:name w:val="{dbd78817-293f-4626-9464-75c78353e334}"/>
        <w:style w:val=""/>
        <w:category>
          <w:name w:val="常规"/>
          <w:gallery w:val="placeholder"/>
        </w:category>
        <w:types>
          <w:type w:val="bbPlcHdr"/>
        </w:types>
        <w:behaviors>
          <w:behavior w:val="content"/>
        </w:behaviors>
        <w:description w:val=""/>
        <w:guid w:val="{dbd78817-293f-4626-9464-75c78353e334}"/>
      </w:docPartPr>
      <w:docPartBody>
        <w:p>
          <w:r>
            <w:rPr>
              <w:color w:val="808080"/>
            </w:rPr>
            <w:t>单击此处输入文字。</w:t>
          </w:r>
        </w:p>
      </w:docPartBody>
    </w:docPart>
    <w:docPart>
      <w:docPartPr>
        <w:name w:val="{3c79d6d0-0ebf-4721-ae39-80ad78c708d0}"/>
        <w:style w:val=""/>
        <w:category>
          <w:name w:val="常规"/>
          <w:gallery w:val="placeholder"/>
        </w:category>
        <w:types>
          <w:type w:val="bbPlcHdr"/>
        </w:types>
        <w:behaviors>
          <w:behavior w:val="content"/>
        </w:behaviors>
        <w:description w:val=""/>
        <w:guid w:val="{3c79d6d0-0ebf-4721-ae39-80ad78c708d0}"/>
      </w:docPartPr>
      <w:docPartBody>
        <w:p>
          <w:r>
            <w:rPr>
              <w:color w:val="808080"/>
            </w:rPr>
            <w:t>单击此处输入文字。</w:t>
          </w:r>
        </w:p>
      </w:docPartBody>
    </w:docPart>
    <w:docPart>
      <w:docPartPr>
        <w:name w:val="{5da0d561-33dc-4434-bee4-fbcf54b9051a}"/>
        <w:style w:val=""/>
        <w:category>
          <w:name w:val="常规"/>
          <w:gallery w:val="placeholder"/>
        </w:category>
        <w:types>
          <w:type w:val="bbPlcHdr"/>
        </w:types>
        <w:behaviors>
          <w:behavior w:val="content"/>
        </w:behaviors>
        <w:description w:val=""/>
        <w:guid w:val="{5da0d561-33dc-4434-bee4-fbcf54b9051a}"/>
      </w:docPartPr>
      <w:docPartBody>
        <w:p>
          <w:r>
            <w:rPr>
              <w:color w:val="808080"/>
            </w:rPr>
            <w:t>单击此处输入文字。</w:t>
          </w:r>
        </w:p>
      </w:docPartBody>
    </w:docPart>
    <w:docPart>
      <w:docPartPr>
        <w:name w:val="{78de0dc2-35ff-477a-9207-c362bc24c69b}"/>
        <w:style w:val=""/>
        <w:category>
          <w:name w:val="常规"/>
          <w:gallery w:val="placeholder"/>
        </w:category>
        <w:types>
          <w:type w:val="bbPlcHdr"/>
        </w:types>
        <w:behaviors>
          <w:behavior w:val="content"/>
        </w:behaviors>
        <w:description w:val=""/>
        <w:guid w:val="{78de0dc2-35ff-477a-9207-c362bc24c69b}"/>
      </w:docPartPr>
      <w:docPartBody>
        <w:p>
          <w:r>
            <w:rPr>
              <w:color w:val="808080"/>
            </w:rPr>
            <w:t>单击此处输入文字。</w:t>
          </w:r>
        </w:p>
      </w:docPartBody>
    </w:docPart>
    <w:docPart>
      <w:docPartPr>
        <w:name w:val="{2be76ae5-26c8-4f50-9384-3c41ea68937e}"/>
        <w:style w:val=""/>
        <w:category>
          <w:name w:val="常规"/>
          <w:gallery w:val="placeholder"/>
        </w:category>
        <w:types>
          <w:type w:val="bbPlcHdr"/>
        </w:types>
        <w:behaviors>
          <w:behavior w:val="content"/>
        </w:behaviors>
        <w:description w:val=""/>
        <w:guid w:val="{2be76ae5-26c8-4f50-9384-3c41ea68937e}"/>
      </w:docPartPr>
      <w:docPartBody>
        <w:p>
          <w:r>
            <w:rPr>
              <w:color w:val="808080"/>
            </w:rPr>
            <w:t>单击此处输入文字。</w:t>
          </w:r>
        </w:p>
      </w:docPartBody>
    </w:docPart>
    <w:docPart>
      <w:docPartPr>
        <w:name w:val="{c8983511-ad9f-44d1-8e65-5312228b4ec3}"/>
        <w:style w:val=""/>
        <w:category>
          <w:name w:val="常规"/>
          <w:gallery w:val="placeholder"/>
        </w:category>
        <w:types>
          <w:type w:val="bbPlcHdr"/>
        </w:types>
        <w:behaviors>
          <w:behavior w:val="content"/>
        </w:behaviors>
        <w:description w:val=""/>
        <w:guid w:val="{c8983511-ad9f-44d1-8e65-5312228b4ec3}"/>
      </w:docPartPr>
      <w:docPartBody>
        <w:p>
          <w:r>
            <w:rPr>
              <w:color w:val="808080"/>
            </w:rPr>
            <w:t>单击此处输入文字。</w:t>
          </w:r>
        </w:p>
      </w:docPartBody>
    </w:docPart>
    <w:docPart>
      <w:docPartPr>
        <w:name w:val="{5f212e4d-385c-4fef-adf4-604961107c3e}"/>
        <w:style w:val=""/>
        <w:category>
          <w:name w:val="常规"/>
          <w:gallery w:val="placeholder"/>
        </w:category>
        <w:types>
          <w:type w:val="bbPlcHdr"/>
        </w:types>
        <w:behaviors>
          <w:behavior w:val="content"/>
        </w:behaviors>
        <w:description w:val=""/>
        <w:guid w:val="{5f212e4d-385c-4fef-adf4-604961107c3e}"/>
      </w:docPartPr>
      <w:docPartBody>
        <w:p>
          <w:r>
            <w:rPr>
              <w:color w:val="808080"/>
            </w:rPr>
            <w:t>单击此处输入文字。</w:t>
          </w:r>
        </w:p>
      </w:docPartBody>
    </w:docPart>
    <w:docPart>
      <w:docPartPr>
        <w:name w:val="{da17abdd-593a-49c9-ae13-b1ea8e6196cc}"/>
        <w:style w:val=""/>
        <w:category>
          <w:name w:val="常规"/>
          <w:gallery w:val="placeholder"/>
        </w:category>
        <w:types>
          <w:type w:val="bbPlcHdr"/>
        </w:types>
        <w:behaviors>
          <w:behavior w:val="content"/>
        </w:behaviors>
        <w:description w:val=""/>
        <w:guid w:val="{da17abdd-593a-49c9-ae13-b1ea8e6196cc}"/>
      </w:docPartPr>
      <w:docPartBody>
        <w:p>
          <w:r>
            <w:rPr>
              <w:color w:val="808080"/>
            </w:rPr>
            <w:t>单击此处输入文字。</w:t>
          </w:r>
        </w:p>
      </w:docPartBody>
    </w:docPart>
    <w:docPart>
      <w:docPartPr>
        <w:name w:val="{9bf5901b-63c9-419a-bcc4-2cf9f1349e46}"/>
        <w:style w:val=""/>
        <w:category>
          <w:name w:val="常规"/>
          <w:gallery w:val="placeholder"/>
        </w:category>
        <w:types>
          <w:type w:val="bbPlcHdr"/>
        </w:types>
        <w:behaviors>
          <w:behavior w:val="content"/>
        </w:behaviors>
        <w:description w:val=""/>
        <w:guid w:val="{9bf5901b-63c9-419a-bcc4-2cf9f1349e46}"/>
      </w:docPartPr>
      <w:docPartBody>
        <w:p>
          <w:r>
            <w:rPr>
              <w:color w:val="808080"/>
            </w:rPr>
            <w:t>单击此处输入文字。</w:t>
          </w:r>
        </w:p>
      </w:docPartBody>
    </w:docPart>
    <w:docPart>
      <w:docPartPr>
        <w:name w:val="{5bccffe5-179e-4198-94db-037c4b02c0b6}"/>
        <w:style w:val=""/>
        <w:category>
          <w:name w:val="常规"/>
          <w:gallery w:val="placeholder"/>
        </w:category>
        <w:types>
          <w:type w:val="bbPlcHdr"/>
        </w:types>
        <w:behaviors>
          <w:behavior w:val="content"/>
        </w:behaviors>
        <w:description w:val=""/>
        <w:guid w:val="{5bccffe5-179e-4198-94db-037c4b02c0b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22399</Words>
  <Characters>22528</Characters>
  <Lines>137</Lines>
  <Paragraphs>38</Paragraphs>
  <TotalTime>14</TotalTime>
  <ScaleCrop>false</ScaleCrop>
  <LinksUpToDate>false</LinksUpToDate>
  <CharactersWithSpaces>22735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2020-08-31T02:57:00Z</dcterms:created>
  <dc:creator>YWT</dc:creator>
  <cp:lastModifiedBy>wh</cp:lastModifiedBy>
  <cp:lastPrinted>2022-01-25T09:42:00Z</cp:lastPrinted>
  <dcterms:modified xsi:type="dcterms:W3CDTF">2022-02-14T12:02:04Z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55ABF91017BC42C28B61EB3D5A7C97DB</vt:lpwstr>
  </property>
</Properties>
</file>